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0B524ECC" w:rsidR="00BD21BC" w:rsidRPr="00FE1F13"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sidR="00E01972">
        <w:rPr>
          <w:rFonts w:eastAsia="MS Mincho" w:cs="Arial"/>
          <w:kern w:val="0"/>
          <w:sz w:val="24"/>
          <w:lang w:val="en-US" w:eastAsia="en-US"/>
        </w:rPr>
        <w:t>WG1 #83</w:t>
      </w:r>
      <w:r w:rsidR="007A4343">
        <w:rPr>
          <w:rFonts w:eastAsia="MS Mincho" w:cs="Arial"/>
          <w:kern w:val="0"/>
          <w:sz w:val="24"/>
          <w:lang w:val="en-US" w:eastAsia="en-US"/>
        </w:rPr>
        <w:tab/>
      </w:r>
      <w:r w:rsidR="00750753" w:rsidRPr="00750753">
        <w:rPr>
          <w:rFonts w:cs="Arial"/>
          <w:sz w:val="24"/>
          <w:lang w:val="en-US"/>
        </w:rPr>
        <w:t>R1-1574</w:t>
      </w:r>
      <w:r w:rsidR="001466A9">
        <w:rPr>
          <w:rFonts w:cs="Arial"/>
          <w:sz w:val="24"/>
          <w:lang w:val="en-US"/>
        </w:rPr>
        <w:t>13</w:t>
      </w:r>
    </w:p>
    <w:p w14:paraId="51C05F98" w14:textId="78D82B0F"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16th – 20</w:t>
      </w:r>
      <w:r w:rsidR="00BD21BC" w:rsidRPr="00FE1F13">
        <w:rPr>
          <w:rFonts w:eastAsia="MS Mincho" w:cs="Arial"/>
          <w:kern w:val="0"/>
          <w:sz w:val="24"/>
          <w:lang w:val="en-US" w:eastAsia="en-US"/>
        </w:rPr>
        <w:t xml:space="preserve">th </w:t>
      </w:r>
      <w:r>
        <w:rPr>
          <w:rFonts w:eastAsia="MS Mincho" w:cs="Arial"/>
          <w:kern w:val="0"/>
          <w:sz w:val="24"/>
          <w:lang w:val="en-US" w:eastAsia="en-US"/>
        </w:rPr>
        <w:t>November</w:t>
      </w:r>
      <w:r w:rsidR="00BD21BC" w:rsidRPr="00FE1F13">
        <w:rPr>
          <w:rFonts w:eastAsia="MS Mincho" w:cs="Arial"/>
          <w:kern w:val="0"/>
          <w:sz w:val="24"/>
          <w:lang w:val="en-US" w:eastAsia="en-US"/>
        </w:rPr>
        <w:t xml:space="preserve"> 2015</w:t>
      </w:r>
    </w:p>
    <w:p w14:paraId="5C202661" w14:textId="7F892950"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00BD21BC"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69C1A11A" w14:textId="77777777" w:rsidR="00E21B75" w:rsidRDefault="00E21B75" w:rsidP="00BD21BC">
      <w:pPr>
        <w:keepNext/>
        <w:tabs>
          <w:tab w:val="left" w:pos="2552"/>
        </w:tabs>
        <w:rPr>
          <w:rFonts w:cs="Arial"/>
          <w:b/>
          <w:sz w:val="24"/>
          <w:lang w:val="en-US"/>
        </w:rPr>
      </w:pPr>
    </w:p>
    <w:p w14:paraId="54FE9035" w14:textId="300F8827"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Source</w:t>
      </w:r>
      <w:r w:rsidR="00E01972">
        <w:rPr>
          <w:rFonts w:cs="Arial"/>
          <w:b/>
          <w:sz w:val="24"/>
          <w:lang w:val="en-US"/>
        </w:rPr>
        <w:t xml:space="preserve">:                    </w:t>
      </w:r>
      <w:r w:rsidR="00E01972">
        <w:rPr>
          <w:rFonts w:cs="Arial"/>
          <w:b/>
          <w:sz w:val="24"/>
          <w:lang w:val="en-US"/>
        </w:rPr>
        <w:tab/>
        <w:t>Ericsson</w:t>
      </w:r>
    </w:p>
    <w:p w14:paraId="44EF3611" w14:textId="6170A742" w:rsidR="00E21B75" w:rsidRPr="00E21B75" w:rsidRDefault="004B486D" w:rsidP="00E01972">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1466A9" w:rsidRPr="001466A9">
        <w:rPr>
          <w:rFonts w:cs="Arial"/>
          <w:b/>
          <w:sz w:val="24"/>
          <w:lang w:val="en-US"/>
        </w:rPr>
        <w:t>NB-</w:t>
      </w:r>
      <w:proofErr w:type="spellStart"/>
      <w:r w:rsidR="001466A9" w:rsidRPr="001466A9">
        <w:rPr>
          <w:rFonts w:cs="Arial"/>
          <w:b/>
          <w:sz w:val="24"/>
          <w:lang w:val="en-US"/>
        </w:rPr>
        <w:t>IoT</w:t>
      </w:r>
      <w:proofErr w:type="spellEnd"/>
      <w:r w:rsidR="001466A9" w:rsidRPr="001466A9">
        <w:rPr>
          <w:rFonts w:cs="Arial"/>
          <w:b/>
          <w:sz w:val="24"/>
          <w:lang w:val="en-US"/>
        </w:rPr>
        <w:t xml:space="preserve"> - Uplink link level coexistence in in-band - interference to LTE</w:t>
      </w:r>
    </w:p>
    <w:p w14:paraId="27FA0AD6" w14:textId="7455DAB6" w:rsidR="00E21B75" w:rsidRPr="00E21B75"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p>
    <w:p w14:paraId="130780DC" w14:textId="2B680C18" w:rsidR="00A675B4" w:rsidRPr="00FE1F13" w:rsidRDefault="00E21B75" w:rsidP="00E21B75">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1466A9" w:rsidRPr="001466A9">
        <w:rPr>
          <w:rFonts w:cs="Arial"/>
          <w:b/>
          <w:sz w:val="24"/>
          <w:lang w:val="en-US"/>
        </w:rPr>
        <w:t>6.2.6.1.3</w:t>
      </w:r>
      <w:r w:rsidR="00BD21BC" w:rsidRPr="00FE1F13">
        <w:rPr>
          <w:rFonts w:cs="Arial"/>
          <w:b/>
          <w:sz w:val="24"/>
          <w:lang w:val="en-US"/>
        </w:rPr>
        <w:tab/>
      </w:r>
      <w:r w:rsidR="00D13E68" w:rsidRPr="00FE1F13">
        <w:rPr>
          <w:lang w:val="en-US"/>
        </w:rPr>
        <w:tab/>
      </w:r>
    </w:p>
    <w:p w14:paraId="577D267A" w14:textId="68B542CE" w:rsidR="00683F57" w:rsidRPr="00FE1F13" w:rsidRDefault="00683F57" w:rsidP="00683F57">
      <w:pPr>
        <w:pStyle w:val="Heading1"/>
        <w:rPr>
          <w:lang w:val="en-US"/>
        </w:rPr>
      </w:pPr>
      <w:bookmarkStart w:id="0" w:name="_Ref409106980"/>
      <w:r w:rsidRPr="00FE1F13">
        <w:rPr>
          <w:lang w:val="en-US"/>
        </w:rPr>
        <w:t>Introduction</w:t>
      </w:r>
      <w:bookmarkEnd w:id="0"/>
    </w:p>
    <w:p w14:paraId="51995D7A" w14:textId="137852CD" w:rsidR="004B486D" w:rsidRPr="004B486D" w:rsidRDefault="007A4343" w:rsidP="004B486D">
      <w:pPr>
        <w:pStyle w:val="BodyText"/>
        <w:rPr>
          <w:lang w:val="en-US"/>
        </w:rPr>
      </w:pPr>
      <w:r>
        <w:rPr>
          <w:lang w:val="en-US"/>
        </w:rPr>
        <w:t>At RAN#69</w:t>
      </w:r>
      <w:r w:rsidR="00585266" w:rsidRPr="00FE1F13">
        <w:rPr>
          <w:lang w:val="en-US"/>
        </w:rPr>
        <w:t>,</w:t>
      </w:r>
      <w:r w:rsidR="00683F57" w:rsidRPr="00FE1F13">
        <w:rPr>
          <w:lang w:val="en-US"/>
        </w:rPr>
        <w:t xml:space="preserve"> a new </w:t>
      </w:r>
      <w:r w:rsidR="00D9057B">
        <w:rPr>
          <w:lang w:val="en-US"/>
        </w:rPr>
        <w:t>work item</w:t>
      </w:r>
      <w:r w:rsidR="00683F57" w:rsidRPr="00FE1F13">
        <w:rPr>
          <w:lang w:val="en-US"/>
        </w:rPr>
        <w:t xml:space="preserve"> named </w:t>
      </w:r>
      <w:r w:rsidR="007A5200">
        <w:rPr>
          <w:lang w:val="en-US"/>
        </w:rPr>
        <w:t>“</w:t>
      </w:r>
      <w:proofErr w:type="spellStart"/>
      <w:r w:rsidR="00D9057B" w:rsidRPr="007A5200">
        <w:rPr>
          <w:lang w:val="en-US"/>
        </w:rPr>
        <w:t>NarrowBand</w:t>
      </w:r>
      <w:proofErr w:type="spellEnd"/>
      <w:r w:rsidR="00D9057B" w:rsidRPr="007A5200">
        <w:rPr>
          <w:lang w:val="en-US"/>
        </w:rPr>
        <w:t xml:space="preserve"> IOT</w:t>
      </w:r>
      <w:r w:rsidR="00D9057B" w:rsidRPr="00D9057B">
        <w:rPr>
          <w:i/>
          <w:lang w:val="en-US"/>
        </w:rPr>
        <w:t xml:space="preserve"> </w:t>
      </w:r>
      <w:r w:rsidR="00D9057B" w:rsidRPr="007A5200">
        <w:rPr>
          <w:lang w:val="en-US"/>
        </w:rPr>
        <w:t>(NB-I</w:t>
      </w:r>
      <w:r w:rsidR="002067F3" w:rsidRPr="007A5200">
        <w:rPr>
          <w:lang w:val="en-US"/>
        </w:rPr>
        <w:t>O</w:t>
      </w:r>
      <w:r w:rsidR="00D9057B" w:rsidRPr="007A5200">
        <w:rPr>
          <w:lang w:val="en-US"/>
        </w:rPr>
        <w:t>T)</w:t>
      </w:r>
      <w:r w:rsidR="007A5200">
        <w:rPr>
          <w:lang w:val="en-US"/>
        </w:rPr>
        <w:t>”</w:t>
      </w:r>
      <w:r w:rsidR="004B486D">
        <w:rPr>
          <w:lang w:val="en-US"/>
        </w:rPr>
        <w:t xml:space="preserve"> was approved, see</w:t>
      </w:r>
      <w:r w:rsidR="00A117BE" w:rsidRPr="00FE1F13">
        <w:rPr>
          <w:lang w:val="en-US"/>
        </w:rPr>
        <w:t xml:space="preserve"> </w:t>
      </w:r>
      <w:r w:rsidR="00A117BE" w:rsidRPr="00FE1F13">
        <w:rPr>
          <w:lang w:val="en-US"/>
        </w:rPr>
        <w:fldChar w:fldCharType="begin"/>
      </w:r>
      <w:r w:rsidR="00A117BE" w:rsidRPr="00FE1F13">
        <w:rPr>
          <w:lang w:val="en-US"/>
        </w:rPr>
        <w:instrText xml:space="preserve"> REF _Ref403069021 \r \h </w:instrText>
      </w:r>
      <w:r w:rsidR="00A117BE" w:rsidRPr="00FE1F13">
        <w:rPr>
          <w:lang w:val="en-US"/>
        </w:rPr>
      </w:r>
      <w:r w:rsidR="00A117BE" w:rsidRPr="00FE1F13">
        <w:rPr>
          <w:lang w:val="en-US"/>
        </w:rPr>
        <w:fldChar w:fldCharType="separate"/>
      </w:r>
      <w:r w:rsidR="00196FBC">
        <w:rPr>
          <w:lang w:val="en-US"/>
        </w:rPr>
        <w:t>[1]</w:t>
      </w:r>
      <w:r w:rsidR="00A117BE" w:rsidRPr="00FE1F13">
        <w:rPr>
          <w:lang w:val="en-US"/>
        </w:rPr>
        <w:fldChar w:fldCharType="end"/>
      </w:r>
      <w:r w:rsidR="00683F57" w:rsidRPr="00FE1F13">
        <w:rPr>
          <w:lang w:val="en-US"/>
        </w:rPr>
        <w:t>.</w:t>
      </w:r>
      <w:r w:rsidR="00643090" w:rsidRPr="00FE1F13">
        <w:rPr>
          <w:lang w:val="en-US"/>
        </w:rPr>
        <w:t xml:space="preserve"> </w:t>
      </w:r>
      <w:r w:rsidR="004B486D" w:rsidRPr="004B486D">
        <w:rPr>
          <w:lang w:val="en-US"/>
        </w:rPr>
        <w:t>The objective is to specify a radio access for cellu</w:t>
      </w:r>
      <w:r w:rsidR="004B486D">
        <w:rPr>
          <w:lang w:val="en-US"/>
        </w:rPr>
        <w:t xml:space="preserve">lar internet of things </w:t>
      </w:r>
      <w:r w:rsidR="004B486D" w:rsidRPr="004B486D">
        <w:rPr>
          <w:lang w:val="en-US"/>
        </w:rPr>
        <w:t xml:space="preserve">that addresses improved indoor coverage, support for massive number of low throughput devices, low delay sensitivity, </w:t>
      </w:r>
      <w:r w:rsidR="00035D50" w:rsidRPr="004B486D">
        <w:rPr>
          <w:lang w:val="en-US"/>
        </w:rPr>
        <w:t>ultra-low</w:t>
      </w:r>
      <w:r w:rsidR="004B486D" w:rsidRPr="004B486D">
        <w:rPr>
          <w:lang w:val="en-US"/>
        </w:rPr>
        <w:t xml:space="preserve"> device cost, low device power consumption and (</w:t>
      </w:r>
      <w:r w:rsidR="00035D50" w:rsidRPr="004B486D">
        <w:rPr>
          <w:lang w:val="en-US"/>
        </w:rPr>
        <w:t>op</w:t>
      </w:r>
      <w:r w:rsidR="00035D50">
        <w:rPr>
          <w:lang w:val="en-US"/>
        </w:rPr>
        <w:t>timized</w:t>
      </w:r>
      <w:r w:rsidR="004B486D">
        <w:rPr>
          <w:lang w:val="en-US"/>
        </w:rPr>
        <w:t xml:space="preserve">) network architecture. </w:t>
      </w:r>
    </w:p>
    <w:p w14:paraId="03A3EA30" w14:textId="16555A7F" w:rsidR="004B486D" w:rsidRPr="004B486D" w:rsidRDefault="004B486D" w:rsidP="004B486D">
      <w:pPr>
        <w:pStyle w:val="BodyText"/>
        <w:rPr>
          <w:lang w:val="en-US"/>
        </w:rPr>
      </w:pPr>
      <w:r w:rsidRPr="004B486D">
        <w:rPr>
          <w:lang w:val="en-US"/>
        </w:rPr>
        <w:t xml:space="preserve">NB-IOT should support </w:t>
      </w:r>
      <w:r w:rsidR="00FC75A7">
        <w:rPr>
          <w:lang w:val="en-US"/>
        </w:rPr>
        <w:t>3 different modes of operation:</w:t>
      </w:r>
    </w:p>
    <w:p w14:paraId="425BF73F" w14:textId="41C908EC" w:rsidR="004B486D" w:rsidRPr="004B486D" w:rsidRDefault="005C2F5A" w:rsidP="004B486D">
      <w:pPr>
        <w:pStyle w:val="BodyText"/>
        <w:rPr>
          <w:lang w:val="en-US"/>
        </w:rPr>
      </w:pPr>
      <w:r>
        <w:rPr>
          <w:lang w:val="en-US"/>
        </w:rPr>
        <w:t>1.</w:t>
      </w:r>
      <w:r>
        <w:rPr>
          <w:lang w:val="en-US"/>
        </w:rPr>
        <w:tab/>
        <w:t>“</w:t>
      </w:r>
      <w:r w:rsidR="004B486D" w:rsidRPr="004B486D">
        <w:rPr>
          <w:lang w:val="en-US"/>
        </w:rPr>
        <w:t>Stand-alon</w:t>
      </w:r>
      <w:r>
        <w:rPr>
          <w:lang w:val="en-US"/>
        </w:rPr>
        <w:t>e operation”</w:t>
      </w:r>
      <w:r w:rsidR="004B486D" w:rsidRPr="004B486D">
        <w:rPr>
          <w:lang w:val="en-US"/>
        </w:rPr>
        <w:t xml:space="preserve"> utilizing for example the spectrum currently being used by GERAN systems as a replacement of one or more GSM carriers</w:t>
      </w:r>
    </w:p>
    <w:p w14:paraId="5D29147C" w14:textId="31045071" w:rsidR="004B486D" w:rsidRPr="004B486D" w:rsidRDefault="005C2F5A" w:rsidP="004B486D">
      <w:pPr>
        <w:pStyle w:val="BodyText"/>
        <w:rPr>
          <w:lang w:val="en-US"/>
        </w:rPr>
      </w:pPr>
      <w:r>
        <w:rPr>
          <w:lang w:val="en-US"/>
        </w:rPr>
        <w:t>2.</w:t>
      </w:r>
      <w:r>
        <w:rPr>
          <w:lang w:val="en-US"/>
        </w:rPr>
        <w:tab/>
        <w:t>“Guard band operation”</w:t>
      </w:r>
      <w:r w:rsidR="004B486D" w:rsidRPr="004B486D">
        <w:rPr>
          <w:lang w:val="en-US"/>
        </w:rPr>
        <w:t xml:space="preserve"> utilizing the unused resource blocks within a LTE carrier’s guard-band </w:t>
      </w:r>
    </w:p>
    <w:p w14:paraId="360D712C" w14:textId="12339245" w:rsidR="004B486D" w:rsidRDefault="005C2F5A" w:rsidP="004B486D">
      <w:pPr>
        <w:pStyle w:val="BodyText"/>
        <w:rPr>
          <w:lang w:val="en-US"/>
        </w:rPr>
      </w:pPr>
      <w:r>
        <w:rPr>
          <w:lang w:val="en-US"/>
        </w:rPr>
        <w:t>3.</w:t>
      </w:r>
      <w:r>
        <w:rPr>
          <w:lang w:val="en-US"/>
        </w:rPr>
        <w:tab/>
        <w:t>“In-band operation”</w:t>
      </w:r>
      <w:r w:rsidR="004B486D" w:rsidRPr="004B486D">
        <w:rPr>
          <w:lang w:val="en-US"/>
        </w:rPr>
        <w:t xml:space="preserve"> utilizing resource blocks within a normal LTE carrier</w:t>
      </w:r>
    </w:p>
    <w:p w14:paraId="3782D8F0" w14:textId="4ABF8686" w:rsidR="00CB7364" w:rsidRPr="00D92256" w:rsidRDefault="00FC75A7" w:rsidP="00D92256">
      <w:pPr>
        <w:pStyle w:val="BodyText"/>
        <w:rPr>
          <w:lang w:val="en-US"/>
        </w:rPr>
      </w:pPr>
      <w:r>
        <w:rPr>
          <w:lang w:val="en-US"/>
        </w:rPr>
        <w:t>The design of NB-</w:t>
      </w:r>
      <w:proofErr w:type="spellStart"/>
      <w:r>
        <w:rPr>
          <w:lang w:val="en-US"/>
        </w:rPr>
        <w:t>IoT</w:t>
      </w:r>
      <w:proofErr w:type="spellEnd"/>
      <w:r>
        <w:rPr>
          <w:lang w:val="en-US"/>
        </w:rPr>
        <w:t xml:space="preserve"> uplink currently includes </w:t>
      </w:r>
      <w:r w:rsidRPr="00353B36">
        <w:rPr>
          <w:lang w:val="en-US"/>
        </w:rPr>
        <w:t>two options</w:t>
      </w:r>
      <w:r>
        <w:rPr>
          <w:lang w:val="en-US"/>
        </w:rPr>
        <w:t>:</w:t>
      </w:r>
      <w:r w:rsidRPr="00353B36">
        <w:rPr>
          <w:lang w:val="en-US"/>
        </w:rPr>
        <w:t xml:space="preserve"> </w:t>
      </w:r>
      <w:proofErr w:type="gramStart"/>
      <w:r>
        <w:rPr>
          <w:lang w:val="en-US"/>
        </w:rPr>
        <w:t>SC-</w:t>
      </w:r>
      <w:r w:rsidRPr="00353B36">
        <w:rPr>
          <w:lang w:val="en-US"/>
        </w:rPr>
        <w:t>FDMA</w:t>
      </w:r>
      <w:r>
        <w:rPr>
          <w:lang w:val="en-US"/>
        </w:rPr>
        <w:t>,</w:t>
      </w:r>
      <w:proofErr w:type="gramEnd"/>
      <w:r>
        <w:rPr>
          <w:lang w:val="en-US"/>
        </w:rPr>
        <w:t xml:space="preserve"> and</w:t>
      </w:r>
      <w:r w:rsidRPr="00353B36">
        <w:rPr>
          <w:lang w:val="en-US"/>
        </w:rPr>
        <w:t xml:space="preserve"> </w:t>
      </w:r>
      <w:r>
        <w:rPr>
          <w:lang w:val="en-US"/>
        </w:rPr>
        <w:t xml:space="preserve">FDMA with GMSK modulation. </w:t>
      </w:r>
      <w:r w:rsidR="00C05479">
        <w:rPr>
          <w:lang w:val="en-US"/>
        </w:rPr>
        <w:t xml:space="preserve">In this contribution, we </w:t>
      </w:r>
      <w:r w:rsidR="00010F4C">
        <w:rPr>
          <w:lang w:val="en-US"/>
        </w:rPr>
        <w:t>analyze</w:t>
      </w:r>
      <w:r w:rsidR="00DB0D58">
        <w:rPr>
          <w:lang w:val="en-US"/>
        </w:rPr>
        <w:t xml:space="preserve"> the impact of the in-band operation m</w:t>
      </w:r>
      <w:r w:rsidR="0005712B">
        <w:rPr>
          <w:lang w:val="en-US"/>
        </w:rPr>
        <w:t>ode</w:t>
      </w:r>
      <w:r w:rsidR="00DB0D58">
        <w:rPr>
          <w:lang w:val="en-US"/>
        </w:rPr>
        <w:t xml:space="preserve"> </w:t>
      </w:r>
      <w:r w:rsidR="00010F4C">
        <w:rPr>
          <w:lang w:val="en-US"/>
        </w:rPr>
        <w:t xml:space="preserve">for both the uplink designs </w:t>
      </w:r>
      <w:r w:rsidR="00DB0D58">
        <w:rPr>
          <w:lang w:val="en-US"/>
        </w:rPr>
        <w:t xml:space="preserve">on an LTE system. </w:t>
      </w:r>
      <w:r>
        <w:rPr>
          <w:lang w:val="en-US"/>
        </w:rPr>
        <w:t xml:space="preserve">The simulation assumptions are based on </w:t>
      </w:r>
      <w:r w:rsidR="002067F3">
        <w:rPr>
          <w:lang w:val="en-US"/>
        </w:rPr>
        <w:fldChar w:fldCharType="begin"/>
      </w:r>
      <w:r w:rsidR="002067F3">
        <w:rPr>
          <w:lang w:val="en-US"/>
        </w:rPr>
        <w:instrText xml:space="preserve"> REF _Ref434576561 \r \h </w:instrText>
      </w:r>
      <w:r w:rsidR="002067F3">
        <w:rPr>
          <w:lang w:val="en-US"/>
        </w:rPr>
      </w:r>
      <w:r w:rsidR="002067F3">
        <w:rPr>
          <w:lang w:val="en-US"/>
        </w:rPr>
        <w:fldChar w:fldCharType="separate"/>
      </w:r>
      <w:r w:rsidR="00196FBC">
        <w:rPr>
          <w:lang w:val="en-US"/>
        </w:rPr>
        <w:t>[2]</w:t>
      </w:r>
      <w:r w:rsidR="002067F3">
        <w:rPr>
          <w:lang w:val="en-US"/>
        </w:rPr>
        <w:fldChar w:fldCharType="end"/>
      </w:r>
      <w:r w:rsidR="00883DA8">
        <w:rPr>
          <w:lang w:val="en-US"/>
        </w:rPr>
        <w:t>, and the next section follows the cases described therein</w:t>
      </w:r>
      <w:r w:rsidR="002E7EAE">
        <w:rPr>
          <w:lang w:val="en-US"/>
        </w:rPr>
        <w:t>.</w:t>
      </w:r>
      <w:bookmarkStart w:id="1" w:name="_Ref426290311"/>
    </w:p>
    <w:p w14:paraId="219286F4" w14:textId="33CAE1FD" w:rsidR="00120E41" w:rsidRPr="00FE1F13" w:rsidRDefault="0072649E" w:rsidP="00837207">
      <w:pPr>
        <w:pStyle w:val="Heading1"/>
        <w:rPr>
          <w:lang w:val="en-US"/>
        </w:rPr>
      </w:pPr>
      <w:r>
        <w:rPr>
          <w:lang w:val="en-US"/>
        </w:rPr>
        <w:t>Discussion</w:t>
      </w:r>
    </w:p>
    <w:p w14:paraId="24EBFE9F" w14:textId="520A66D0" w:rsidR="00837207" w:rsidRDefault="00DE264A" w:rsidP="00120E41">
      <w:pPr>
        <w:pStyle w:val="BodyText"/>
        <w:rPr>
          <w:lang w:val="en-US"/>
        </w:rPr>
      </w:pPr>
      <w:r>
        <w:rPr>
          <w:lang w:val="en-US"/>
        </w:rPr>
        <w:t xml:space="preserve">In this section we provide link-level simulation results </w:t>
      </w:r>
      <w:r w:rsidR="00F711F3">
        <w:rPr>
          <w:lang w:val="en-US"/>
        </w:rPr>
        <w:t xml:space="preserve">that measure </w:t>
      </w:r>
      <w:r>
        <w:rPr>
          <w:lang w:val="en-US"/>
        </w:rPr>
        <w:t xml:space="preserve">the impact </w:t>
      </w:r>
      <w:r w:rsidR="00F711F3">
        <w:rPr>
          <w:lang w:val="en-US"/>
        </w:rPr>
        <w:t>o</w:t>
      </w:r>
      <w:r>
        <w:rPr>
          <w:lang w:val="en-US"/>
        </w:rPr>
        <w:t>f NB-IOT uplink transmission on the uplink transmission from a LTE UE. We analyze both uplink design options, i.e. SC-FDMA with 2.5 kHz subcarrier spacing</w:t>
      </w:r>
      <w:r w:rsidR="006F6842">
        <w:rPr>
          <w:lang w:val="en-US"/>
        </w:rPr>
        <w:t>,</w:t>
      </w:r>
      <w:r>
        <w:rPr>
          <w:lang w:val="en-US"/>
        </w:rPr>
        <w:t xml:space="preserve"> and GMSK with 5 kHz </w:t>
      </w:r>
      <w:r w:rsidR="00617C01">
        <w:rPr>
          <w:lang w:val="en-US"/>
        </w:rPr>
        <w:t>channel</w:t>
      </w:r>
      <w:r>
        <w:rPr>
          <w:lang w:val="en-US"/>
        </w:rPr>
        <w:t xml:space="preserve"> </w:t>
      </w:r>
      <w:r w:rsidR="00E77446">
        <w:rPr>
          <w:lang w:val="en-US"/>
        </w:rPr>
        <w:t>spacing</w:t>
      </w:r>
      <w:r w:rsidR="006F6842">
        <w:rPr>
          <w:lang w:val="en-US"/>
        </w:rPr>
        <w:t>.</w:t>
      </w:r>
      <w:r w:rsidR="005A7942">
        <w:rPr>
          <w:lang w:val="en-US"/>
        </w:rPr>
        <w:t xml:space="preserve"> For the uplink based on SC-FDMA, we assume that half of the NB-IOT system bandwidth (i.e. 36 subcarriers) is occupied. On the other hand for uplink based on GMSK, we assume a single NB-IOT channel is occupied (5 MHz) without any channel bonding. In both the cases, the location of the NB-IOT transmission is adjacent to the LTE transmission in frequency (i.e., no guard interval </w:t>
      </w:r>
      <w:r w:rsidR="000B4484">
        <w:rPr>
          <w:lang w:val="en-US"/>
        </w:rPr>
        <w:t>is</w:t>
      </w:r>
      <w:r w:rsidR="005A7942">
        <w:rPr>
          <w:lang w:val="en-US"/>
        </w:rPr>
        <w:t xml:space="preserve"> employed). In</w:t>
      </w:r>
      <w:r w:rsidR="006F6842">
        <w:rPr>
          <w:lang w:val="en-US"/>
        </w:rPr>
        <w:t xml:space="preserve"> </w:t>
      </w:r>
      <w:r w:rsidR="005A7942">
        <w:rPr>
          <w:lang w:val="en-US"/>
        </w:rPr>
        <w:fldChar w:fldCharType="begin"/>
      </w:r>
      <w:r w:rsidR="005A7942">
        <w:rPr>
          <w:lang w:val="en-US"/>
        </w:rPr>
        <w:instrText xml:space="preserve"> REF _Ref434588368 \r \h </w:instrText>
      </w:r>
      <w:r w:rsidR="005A7942">
        <w:rPr>
          <w:lang w:val="en-US"/>
        </w:rPr>
      </w:r>
      <w:r w:rsidR="005A7942">
        <w:rPr>
          <w:lang w:val="en-US"/>
        </w:rPr>
        <w:fldChar w:fldCharType="separate"/>
      </w:r>
      <w:r w:rsidR="00196FBC">
        <w:rPr>
          <w:lang w:val="en-US"/>
        </w:rPr>
        <w:t>2.1</w:t>
      </w:r>
      <w:r w:rsidR="005A7942">
        <w:rPr>
          <w:lang w:val="en-US"/>
        </w:rPr>
        <w:fldChar w:fldCharType="end"/>
      </w:r>
      <w:r w:rsidR="005A7942">
        <w:rPr>
          <w:lang w:val="en-US"/>
        </w:rPr>
        <w:t xml:space="preserve">, we evaluate the impact of NB-IOT transmission on LTE for a typical NB-IOT SNR of 5 </w:t>
      </w:r>
      <w:proofErr w:type="spellStart"/>
      <w:r w:rsidR="005A7942">
        <w:rPr>
          <w:lang w:val="en-US"/>
        </w:rPr>
        <w:t>dB.</w:t>
      </w:r>
      <w:proofErr w:type="spellEnd"/>
      <w:r w:rsidR="005A7942">
        <w:rPr>
          <w:lang w:val="en-US"/>
        </w:rPr>
        <w:t xml:space="preserve"> In </w:t>
      </w:r>
      <w:r w:rsidR="005A7942">
        <w:rPr>
          <w:lang w:val="en-US"/>
        </w:rPr>
        <w:fldChar w:fldCharType="begin"/>
      </w:r>
      <w:r w:rsidR="005A7942">
        <w:rPr>
          <w:lang w:val="en-US"/>
        </w:rPr>
        <w:instrText xml:space="preserve"> REF _Ref434588789 \r \h </w:instrText>
      </w:r>
      <w:r w:rsidR="005A7942">
        <w:rPr>
          <w:lang w:val="en-US"/>
        </w:rPr>
      </w:r>
      <w:r w:rsidR="005A7942">
        <w:rPr>
          <w:lang w:val="en-US"/>
        </w:rPr>
        <w:fldChar w:fldCharType="separate"/>
      </w:r>
      <w:r w:rsidR="00196FBC">
        <w:rPr>
          <w:lang w:val="en-US"/>
        </w:rPr>
        <w:t>2.2</w:t>
      </w:r>
      <w:r w:rsidR="005A7942">
        <w:rPr>
          <w:lang w:val="en-US"/>
        </w:rPr>
        <w:fldChar w:fldCharType="end"/>
      </w:r>
      <w:r w:rsidR="005A7942">
        <w:rPr>
          <w:lang w:val="en-US"/>
        </w:rPr>
        <w:t xml:space="preserve"> we use an increased NB-IOT SNR of</w:t>
      </w:r>
      <w:r w:rsidR="00611101">
        <w:rPr>
          <w:lang w:val="en-US"/>
        </w:rPr>
        <w:t xml:space="preserve"> 15 dB to examine the impact in such an extreme scenario. The leakage from NB-IOT uplink can be reduced by employing a suitable transmit filter, which is evaluated in </w:t>
      </w:r>
      <w:r w:rsidR="00611101">
        <w:rPr>
          <w:lang w:val="en-US"/>
        </w:rPr>
        <w:fldChar w:fldCharType="begin"/>
      </w:r>
      <w:r w:rsidR="00611101">
        <w:rPr>
          <w:lang w:val="en-US"/>
        </w:rPr>
        <w:instrText xml:space="preserve"> REF _Ref434588921 \r \h </w:instrText>
      </w:r>
      <w:r w:rsidR="00611101">
        <w:rPr>
          <w:lang w:val="en-US"/>
        </w:rPr>
      </w:r>
      <w:r w:rsidR="00611101">
        <w:rPr>
          <w:lang w:val="en-US"/>
        </w:rPr>
        <w:fldChar w:fldCharType="separate"/>
      </w:r>
      <w:r w:rsidR="00196FBC">
        <w:rPr>
          <w:lang w:val="en-US"/>
        </w:rPr>
        <w:t>2.3</w:t>
      </w:r>
      <w:r w:rsidR="00611101">
        <w:rPr>
          <w:lang w:val="en-US"/>
        </w:rPr>
        <w:fldChar w:fldCharType="end"/>
      </w:r>
      <w:r w:rsidR="00611101">
        <w:rPr>
          <w:lang w:val="en-US"/>
        </w:rPr>
        <w:t xml:space="preserve"> for the SC-FDMA design</w:t>
      </w:r>
      <w:r w:rsidR="005A7942">
        <w:rPr>
          <w:lang w:val="en-US"/>
        </w:rPr>
        <w:t xml:space="preserve">. </w:t>
      </w:r>
      <w:r w:rsidR="00611101">
        <w:rPr>
          <w:lang w:val="en-US"/>
        </w:rPr>
        <w:t xml:space="preserve">Finally in </w:t>
      </w:r>
      <w:r w:rsidR="00611101">
        <w:rPr>
          <w:lang w:val="en-US"/>
        </w:rPr>
        <w:fldChar w:fldCharType="begin"/>
      </w:r>
      <w:r w:rsidR="00611101">
        <w:rPr>
          <w:lang w:val="en-US"/>
        </w:rPr>
        <w:instrText xml:space="preserve"> REF _Ref434588947 \r \h </w:instrText>
      </w:r>
      <w:r w:rsidR="00611101">
        <w:rPr>
          <w:lang w:val="en-US"/>
        </w:rPr>
      </w:r>
      <w:r w:rsidR="00611101">
        <w:rPr>
          <w:lang w:val="en-US"/>
        </w:rPr>
        <w:fldChar w:fldCharType="separate"/>
      </w:r>
      <w:r w:rsidR="00196FBC">
        <w:rPr>
          <w:lang w:val="en-US"/>
        </w:rPr>
        <w:t>2.4</w:t>
      </w:r>
      <w:r w:rsidR="00611101">
        <w:rPr>
          <w:lang w:val="en-US"/>
        </w:rPr>
        <w:fldChar w:fldCharType="end"/>
      </w:r>
      <w:r w:rsidR="006F6842">
        <w:rPr>
          <w:lang w:val="en-US"/>
        </w:rPr>
        <w:t>, we investigate the effect of using a wider subcarrier spacing (15 kHz) for the SC-FDMA design.</w:t>
      </w:r>
    </w:p>
    <w:p w14:paraId="229EF080" w14:textId="40C412A8" w:rsidR="00837207" w:rsidRDefault="0072649E" w:rsidP="00837207">
      <w:pPr>
        <w:pStyle w:val="Heading2"/>
        <w:rPr>
          <w:lang w:val="en-US"/>
        </w:rPr>
      </w:pPr>
      <w:bookmarkStart w:id="2" w:name="_Ref434588368"/>
      <w:r>
        <w:rPr>
          <w:lang w:val="en-US"/>
        </w:rPr>
        <w:t>In-band operation</w:t>
      </w:r>
      <w:bookmarkEnd w:id="2"/>
    </w:p>
    <w:p w14:paraId="439FAF73" w14:textId="42799CE0" w:rsidR="002150C4" w:rsidRDefault="0072649E" w:rsidP="00E40203">
      <w:pPr>
        <w:rPr>
          <w:b/>
          <w:lang w:val="en-US"/>
        </w:rPr>
      </w:pPr>
      <w:r w:rsidRPr="00914EAC">
        <w:rPr>
          <w:b/>
          <w:lang w:val="en-US"/>
        </w:rPr>
        <w:t xml:space="preserve">Case 1: </w:t>
      </w:r>
      <w:r w:rsidR="00914EAC">
        <w:rPr>
          <w:b/>
          <w:lang w:val="en-US"/>
        </w:rPr>
        <w:t>Effect on LTE PUSCH</w:t>
      </w:r>
    </w:p>
    <w:p w14:paraId="3C89467F" w14:textId="3E20E8F6" w:rsidR="00914EAC" w:rsidRPr="00914EAC" w:rsidRDefault="00914EAC" w:rsidP="00E40203">
      <w:pPr>
        <w:rPr>
          <w:lang w:val="en-US"/>
        </w:rPr>
      </w:pPr>
      <w:r w:rsidRPr="00914EAC">
        <w:rPr>
          <w:lang w:val="en-US"/>
        </w:rPr>
        <w:t xml:space="preserve">The </w:t>
      </w:r>
      <w:r>
        <w:rPr>
          <w:lang w:val="en-US"/>
        </w:rPr>
        <w:t>sim</w:t>
      </w:r>
      <w:r w:rsidR="003B236E">
        <w:rPr>
          <w:lang w:val="en-US"/>
        </w:rPr>
        <w:t>ulation results are provided in</w:t>
      </w:r>
      <w:r>
        <w:rPr>
          <w:lang w:val="en-US"/>
        </w:rPr>
        <w:t xml:space="preserve"> </w:t>
      </w:r>
      <w:r>
        <w:rPr>
          <w:lang w:val="en-US"/>
        </w:rPr>
        <w:fldChar w:fldCharType="begin"/>
      </w:r>
      <w:r>
        <w:rPr>
          <w:lang w:val="en-US"/>
        </w:rPr>
        <w:instrText xml:space="preserve"> REF _Ref434589202 \h </w:instrText>
      </w:r>
      <w:r>
        <w:rPr>
          <w:lang w:val="en-US"/>
        </w:rPr>
      </w:r>
      <w:r>
        <w:rPr>
          <w:lang w:val="en-US"/>
        </w:rPr>
        <w:fldChar w:fldCharType="separate"/>
      </w:r>
      <w:r w:rsidR="00196FBC">
        <w:t xml:space="preserve">Figure </w:t>
      </w:r>
      <w:r w:rsidR="00196FBC">
        <w:rPr>
          <w:noProof/>
        </w:rPr>
        <w:t>1</w:t>
      </w:r>
      <w:r w:rsidR="00196FBC">
        <w:t xml:space="preserve"> There is a negligible i</w:t>
      </w:r>
      <w:r w:rsidR="00196FBC">
        <w:rPr>
          <w:noProof/>
        </w:rPr>
        <w:t>mpact of in-band NB-IOT transmission on LTE PUSCH</w:t>
      </w:r>
      <w:r>
        <w:rPr>
          <w:lang w:val="en-US"/>
        </w:rPr>
        <w:fldChar w:fldCharType="end"/>
      </w:r>
      <w:r w:rsidR="00C804B6">
        <w:rPr>
          <w:lang w:val="en-US"/>
        </w:rPr>
        <w:t xml:space="preserve"> for PUSCH transmission spanning 1 PRB</w:t>
      </w:r>
      <w:r w:rsidR="00C90C2A">
        <w:rPr>
          <w:lang w:val="en-US"/>
        </w:rPr>
        <w:t xml:space="preserve"> with 16-QAM</w:t>
      </w:r>
      <w:r w:rsidR="00C804B6">
        <w:rPr>
          <w:lang w:val="en-US"/>
        </w:rPr>
        <w:t xml:space="preserve"> as well as 10 PRBs</w:t>
      </w:r>
      <w:r w:rsidR="00C90C2A">
        <w:rPr>
          <w:lang w:val="en-US"/>
        </w:rPr>
        <w:t xml:space="preserve"> with QPSK</w:t>
      </w:r>
      <w:r w:rsidR="006E38F5">
        <w:rPr>
          <w:lang w:val="en-US"/>
        </w:rPr>
        <w:t>. In case of LTE PUSCH spanning 1 PRB, the impact of NB-IOT transmission is observed to be quite small for both SC-FDMA and GMSK</w:t>
      </w:r>
      <w:r w:rsidR="000F193F">
        <w:rPr>
          <w:lang w:val="en-US"/>
        </w:rPr>
        <w:t>. For LTE PUSCH spanning a larger bandwidth (10 PRBs), the impact is even less, on account of the additional PUSCH PRBs being located farther away from the NBIOT transmission.</w:t>
      </w:r>
    </w:p>
    <w:p w14:paraId="2BC14403" w14:textId="59623943" w:rsidR="00DE264A" w:rsidRDefault="00863980" w:rsidP="00DE264A">
      <w:pPr>
        <w:keepNext/>
        <w:jc w:val="center"/>
      </w:pPr>
      <w:r>
        <w:rPr>
          <w:noProof/>
          <w:lang w:val="en-US" w:eastAsia="en-US"/>
        </w:rPr>
        <w:lastRenderedPageBreak/>
        <mc:AlternateContent>
          <mc:Choice Requires="wpg">
            <w:drawing>
              <wp:anchor distT="0" distB="0" distL="114300" distR="114300" simplePos="0" relativeHeight="251665408" behindDoc="0" locked="0" layoutInCell="1" allowOverlap="1" wp14:anchorId="4F96C29F" wp14:editId="175F7AB7">
                <wp:simplePos x="0" y="0"/>
                <wp:positionH relativeFrom="column">
                  <wp:posOffset>3219508</wp:posOffset>
                </wp:positionH>
                <wp:positionV relativeFrom="paragraph">
                  <wp:posOffset>678815</wp:posOffset>
                </wp:positionV>
                <wp:extent cx="2420815" cy="896815"/>
                <wp:effectExtent l="0" t="0" r="0" b="0"/>
                <wp:wrapNone/>
                <wp:docPr id="3" name="Group 3"/>
                <wp:cNvGraphicFramePr/>
                <a:graphic xmlns:a="http://schemas.openxmlformats.org/drawingml/2006/main">
                  <a:graphicData uri="http://schemas.microsoft.com/office/word/2010/wordprocessingGroup">
                    <wpg:wgp>
                      <wpg:cNvGrpSpPr/>
                      <wpg:grpSpPr>
                        <a:xfrm>
                          <a:off x="0" y="0"/>
                          <a:ext cx="2420815" cy="896815"/>
                          <a:chOff x="0" y="0"/>
                          <a:chExt cx="2420815" cy="896815"/>
                        </a:xfrm>
                      </wpg:grpSpPr>
                      <wps:wsp>
                        <wps:cNvPr id="4" name="Text Box 2"/>
                        <wps:cNvSpPr txBox="1">
                          <a:spLocks noChangeArrowheads="1"/>
                        </wps:cNvSpPr>
                        <wps:spPr bwMode="auto">
                          <a:xfrm>
                            <a:off x="0" y="674077"/>
                            <a:ext cx="885092" cy="222738"/>
                          </a:xfrm>
                          <a:prstGeom prst="rect">
                            <a:avLst/>
                          </a:prstGeom>
                          <a:noFill/>
                          <a:ln w="9525">
                            <a:noFill/>
                            <a:miter lim="800000"/>
                            <a:headEnd/>
                            <a:tailEnd/>
                          </a:ln>
                        </wps:spPr>
                        <wps:txbx>
                          <w:txbxContent>
                            <w:p w14:paraId="70B6D8C9" w14:textId="77777777" w:rsidR="00863980" w:rsidRPr="00161763" w:rsidRDefault="00863980" w:rsidP="00863980">
                              <w:pPr>
                                <w:rPr>
                                  <w:sz w:val="16"/>
                                </w:rPr>
                              </w:pPr>
                              <w:r w:rsidRPr="00161763">
                                <w:rPr>
                                  <w:sz w:val="16"/>
                                </w:rPr>
                                <w:t>10 PRB</w:t>
                              </w:r>
                              <w:r>
                                <w:rPr>
                                  <w:sz w:val="16"/>
                                </w:rPr>
                                <w:t>, QPSK</w:t>
                              </w:r>
                            </w:p>
                          </w:txbxContent>
                        </wps:txbx>
                        <wps:bodyPr rot="0" vert="horz" wrap="square" lIns="91440" tIns="45720" rIns="91440" bIns="45720" anchor="t" anchorCtr="0">
                          <a:noAutofit/>
                        </wps:bodyPr>
                      </wps:wsp>
                      <wps:wsp>
                        <wps:cNvPr id="5" name="Text Box 2"/>
                        <wps:cNvSpPr txBox="1">
                          <a:spLocks noChangeArrowheads="1"/>
                        </wps:cNvSpPr>
                        <wps:spPr bwMode="auto">
                          <a:xfrm>
                            <a:off x="1482969" y="0"/>
                            <a:ext cx="937846" cy="257908"/>
                          </a:xfrm>
                          <a:prstGeom prst="rect">
                            <a:avLst/>
                          </a:prstGeom>
                          <a:noFill/>
                          <a:ln w="9525">
                            <a:noFill/>
                            <a:miter lim="800000"/>
                            <a:headEnd/>
                            <a:tailEnd/>
                          </a:ln>
                        </wps:spPr>
                        <wps:txbx>
                          <w:txbxContent>
                            <w:p w14:paraId="05F6B0BC" w14:textId="77777777" w:rsidR="00863980" w:rsidRPr="00161763" w:rsidRDefault="00863980" w:rsidP="00863980">
                              <w:pPr>
                                <w:rPr>
                                  <w:sz w:val="16"/>
                                </w:rPr>
                              </w:pPr>
                              <w:r>
                                <w:rPr>
                                  <w:sz w:val="16"/>
                                </w:rPr>
                                <w:t>1 PRB, 16-QAM</w:t>
                              </w:r>
                            </w:p>
                          </w:txbxContent>
                        </wps:txbx>
                        <wps:bodyPr rot="0" vert="horz" wrap="square" lIns="91440" tIns="45720" rIns="91440" bIns="45720" anchor="t" anchorCtr="0">
                          <a:noAutofit/>
                        </wps:bodyPr>
                      </wps:wsp>
                    </wpg:wgp>
                  </a:graphicData>
                </a:graphic>
              </wp:anchor>
            </w:drawing>
          </mc:Choice>
          <mc:Fallback>
            <w:pict>
              <v:group id="Group 3" o:spid="_x0000_s1026" style="position:absolute;left:0;text-align:left;margin-left:253.5pt;margin-top:53.45pt;width:190.6pt;height:70.6pt;z-index:251665408" coordsize="24208,8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">
                <v:shapetype id="_x0000_t202" coordsize="21600,21600" o:spt="202" path="m,l,21600r21600,l21600,xe">
                  <v:stroke joinstyle="miter"/>
                  <v:path gradientshapeok="t" o:connecttype="rect"/>
                </v:shapetype>
                <v:shape id="_x0000_s1027" type="#_x0000_t202" style="position:absolute;top:6740;width:8850;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70B6D8C9" w14:textId="77777777" w:rsidR="00863980" w:rsidRPr="00161763" w:rsidRDefault="00863980" w:rsidP="00863980">
                        <w:pPr>
                          <w:rPr>
                            <w:sz w:val="16"/>
                          </w:rPr>
                        </w:pPr>
                        <w:r w:rsidRPr="00161763">
                          <w:rPr>
                            <w:sz w:val="16"/>
                          </w:rPr>
                          <w:t>10 PRB</w:t>
                        </w:r>
                        <w:r>
                          <w:rPr>
                            <w:sz w:val="16"/>
                          </w:rPr>
                          <w:t>, QPSK</w:t>
                        </w:r>
                      </w:p>
                    </w:txbxContent>
                  </v:textbox>
                </v:shape>
                <v:shape id="_x0000_s1028" type="#_x0000_t202" style="position:absolute;left:14829;width:9379;height:2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5F6B0BC" w14:textId="77777777" w:rsidR="00863980" w:rsidRPr="00161763" w:rsidRDefault="00863980" w:rsidP="00863980">
                        <w:pPr>
                          <w:rPr>
                            <w:sz w:val="16"/>
                          </w:rPr>
                        </w:pPr>
                        <w:r>
                          <w:rPr>
                            <w:sz w:val="16"/>
                          </w:rPr>
                          <w:t>1 PRB, 16-QAM</w:t>
                        </w:r>
                      </w:p>
                    </w:txbxContent>
                  </v:textbox>
                </v:shape>
              </v:group>
            </w:pict>
          </mc:Fallback>
        </mc:AlternateContent>
      </w:r>
      <w:r w:rsidR="00CA3770">
        <w:rPr>
          <w:noProof/>
          <w:lang w:val="en-US" w:eastAsia="en-US"/>
        </w:rPr>
        <mc:AlternateContent>
          <mc:Choice Requires="wpg">
            <w:drawing>
              <wp:anchor distT="0" distB="0" distL="114300" distR="114300" simplePos="0" relativeHeight="251661312" behindDoc="0" locked="0" layoutInCell="1" allowOverlap="1" wp14:anchorId="65F13E23" wp14:editId="2D0FBE84">
                <wp:simplePos x="0" y="0"/>
                <wp:positionH relativeFrom="column">
                  <wp:posOffset>309880</wp:posOffset>
                </wp:positionH>
                <wp:positionV relativeFrom="paragraph">
                  <wp:posOffset>876935</wp:posOffset>
                </wp:positionV>
                <wp:extent cx="2420815" cy="896815"/>
                <wp:effectExtent l="0" t="0" r="0" b="0"/>
                <wp:wrapNone/>
                <wp:docPr id="11" name="Group 11"/>
                <wp:cNvGraphicFramePr/>
                <a:graphic xmlns:a="http://schemas.openxmlformats.org/drawingml/2006/main">
                  <a:graphicData uri="http://schemas.microsoft.com/office/word/2010/wordprocessingGroup">
                    <wpg:wgp>
                      <wpg:cNvGrpSpPr/>
                      <wpg:grpSpPr>
                        <a:xfrm>
                          <a:off x="0" y="0"/>
                          <a:ext cx="2420815" cy="896815"/>
                          <a:chOff x="0" y="0"/>
                          <a:chExt cx="2420815" cy="896815"/>
                        </a:xfrm>
                      </wpg:grpSpPr>
                      <wps:wsp>
                        <wps:cNvPr id="307" name="Text Box 2"/>
                        <wps:cNvSpPr txBox="1">
                          <a:spLocks noChangeArrowheads="1"/>
                        </wps:cNvSpPr>
                        <wps:spPr bwMode="auto">
                          <a:xfrm>
                            <a:off x="0" y="674077"/>
                            <a:ext cx="885092" cy="222738"/>
                          </a:xfrm>
                          <a:prstGeom prst="rect">
                            <a:avLst/>
                          </a:prstGeom>
                          <a:noFill/>
                          <a:ln w="9525">
                            <a:noFill/>
                            <a:miter lim="800000"/>
                            <a:headEnd/>
                            <a:tailEnd/>
                          </a:ln>
                        </wps:spPr>
                        <wps:txbx>
                          <w:txbxContent>
                            <w:p w14:paraId="3875431B" w14:textId="7FA515DF" w:rsidR="00161763" w:rsidRPr="00161763" w:rsidRDefault="00161763">
                              <w:pPr>
                                <w:rPr>
                                  <w:sz w:val="16"/>
                                </w:rPr>
                              </w:pPr>
                              <w:r w:rsidRPr="00161763">
                                <w:rPr>
                                  <w:sz w:val="16"/>
                                </w:rPr>
                                <w:t>10 PRB</w:t>
                              </w:r>
                              <w:r>
                                <w:rPr>
                                  <w:sz w:val="16"/>
                                </w:rPr>
                                <w:t>, QPSK</w:t>
                              </w:r>
                            </w:p>
                          </w:txbxContent>
                        </wps:txbx>
                        <wps:bodyPr rot="0" vert="horz" wrap="square" lIns="91440" tIns="45720" rIns="91440" bIns="45720" anchor="t" anchorCtr="0">
                          <a:noAutofit/>
                        </wps:bodyPr>
                      </wps:wsp>
                      <wps:wsp>
                        <wps:cNvPr id="9" name="Text Box 2"/>
                        <wps:cNvSpPr txBox="1">
                          <a:spLocks noChangeArrowheads="1"/>
                        </wps:cNvSpPr>
                        <wps:spPr bwMode="auto">
                          <a:xfrm>
                            <a:off x="1482969" y="0"/>
                            <a:ext cx="937846" cy="257908"/>
                          </a:xfrm>
                          <a:prstGeom prst="rect">
                            <a:avLst/>
                          </a:prstGeom>
                          <a:noFill/>
                          <a:ln w="9525">
                            <a:noFill/>
                            <a:miter lim="800000"/>
                            <a:headEnd/>
                            <a:tailEnd/>
                          </a:ln>
                        </wps:spPr>
                        <wps:txbx>
                          <w:txbxContent>
                            <w:p w14:paraId="50EF7F48" w14:textId="1B06CF3A" w:rsidR="00161763" w:rsidRPr="00161763" w:rsidRDefault="00161763" w:rsidP="00161763">
                              <w:pPr>
                                <w:rPr>
                                  <w:sz w:val="16"/>
                                </w:rPr>
                              </w:pPr>
                              <w:r>
                                <w:rPr>
                                  <w:sz w:val="16"/>
                                </w:rPr>
                                <w:t>1 PRB, 16-QAM</w:t>
                              </w:r>
                            </w:p>
                          </w:txbxContent>
                        </wps:txbx>
                        <wps:bodyPr rot="0" vert="horz" wrap="square" lIns="91440" tIns="45720" rIns="91440" bIns="45720" anchor="t" anchorCtr="0">
                          <a:noAutofit/>
                        </wps:bodyPr>
                      </wps:wsp>
                    </wpg:wgp>
                  </a:graphicData>
                </a:graphic>
              </wp:anchor>
            </w:drawing>
          </mc:Choice>
          <mc:Fallback>
            <w:pict>
              <v:group id="Group 11" o:spid="_x0000_s1029" style="position:absolute;left:0;text-align:left;margin-left:24.4pt;margin-top:69.05pt;width:190.6pt;height:70.6pt;z-index:251661312" coordsize="24208,8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">
                <v:shape id="Text Box 2" o:spid="_x0000_s1030" type="#_x0000_t202" style="position:absolute;top:6740;width:8850;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14:paraId="3875431B" w14:textId="7FA515DF" w:rsidR="00161763" w:rsidRPr="00161763" w:rsidRDefault="00161763">
                        <w:pPr>
                          <w:rPr>
                            <w:sz w:val="16"/>
                          </w:rPr>
                        </w:pPr>
                        <w:r w:rsidRPr="00161763">
                          <w:rPr>
                            <w:sz w:val="16"/>
                          </w:rPr>
                          <w:t>10 PRB</w:t>
                        </w:r>
                        <w:r>
                          <w:rPr>
                            <w:sz w:val="16"/>
                          </w:rPr>
                          <w:t>, QPSK</w:t>
                        </w:r>
                      </w:p>
                    </w:txbxContent>
                  </v:textbox>
                </v:shape>
                <v:shape id="Text Box 2" o:spid="_x0000_s1031" type="#_x0000_t202" style="position:absolute;left:14829;width:9379;height:2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50EF7F48" w14:textId="1B06CF3A" w:rsidR="00161763" w:rsidRPr="00161763" w:rsidRDefault="00161763" w:rsidP="00161763">
                        <w:pPr>
                          <w:rPr>
                            <w:sz w:val="16"/>
                          </w:rPr>
                        </w:pPr>
                        <w:r>
                          <w:rPr>
                            <w:sz w:val="16"/>
                          </w:rPr>
                          <w:t>1 PRB, 16-QAM</w:t>
                        </w:r>
                      </w:p>
                    </w:txbxContent>
                  </v:textbox>
                </v:shape>
              </v:group>
            </w:pict>
          </mc:Fallback>
        </mc:AlternateContent>
      </w:r>
      <w:r w:rsidR="00CA3770" w:rsidRPr="00CA3770">
        <w:rPr>
          <w:noProof/>
          <w:lang w:val="en-US" w:eastAsia="en-US"/>
        </w:rPr>
        <w:t xml:space="preserve"> </w:t>
      </w:r>
      <w:r w:rsidR="00CD4938">
        <w:rPr>
          <w:noProof/>
          <w:lang w:val="en-US" w:eastAsia="en-US"/>
        </w:rPr>
        <w:drawing>
          <wp:inline distT="0" distB="0" distL="0" distR="0" wp14:anchorId="512501B2" wp14:editId="36E7BA39">
            <wp:extent cx="3025318" cy="2265218"/>
            <wp:effectExtent l="0" t="0" r="3810" b="1905"/>
            <wp:docPr id="15" name="Picture 15" descr="P:\ECL\narrowband_lte\results\coexistence_nb_legacy\ran1_83_plots\print_versions\NBLTE_INBAND_CASE1_162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CL\narrowband_lte\results\coexistence_nb_legacy\ran1_83_plots\print_versions\NBLTE_INBAND_CASE1_16260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3113" cy="2271054"/>
                    </a:xfrm>
                    <a:prstGeom prst="rect">
                      <a:avLst/>
                    </a:prstGeom>
                    <a:noFill/>
                    <a:ln>
                      <a:noFill/>
                    </a:ln>
                  </pic:spPr>
                </pic:pic>
              </a:graphicData>
            </a:graphic>
          </wp:inline>
        </w:drawing>
      </w:r>
      <w:r w:rsidR="00C61384" w:rsidRPr="00C61384">
        <w:rPr>
          <w:noProof/>
          <w:lang w:val="en-US" w:eastAsia="en-US"/>
        </w:rPr>
        <w:t xml:space="preserve"> </w:t>
      </w:r>
      <w:r w:rsidR="00B5435E">
        <w:rPr>
          <w:noProof/>
          <w:lang w:val="en-US" w:eastAsia="en-US"/>
        </w:rPr>
        <w:drawing>
          <wp:inline distT="0" distB="0" distL="0" distR="0" wp14:anchorId="4D6EE5D9" wp14:editId="4D3BF906">
            <wp:extent cx="2913945" cy="2183795"/>
            <wp:effectExtent l="0" t="0" r="1270" b="6985"/>
            <wp:docPr id="2" name="Picture 2" descr="P:\ECL\narrowband_lte\results\coexistence_nb_legacy\ran1_83_plots\print_versions\NBIOT_INBAND_CASE1_1635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L\narrowband_lte\results\coexistence_nb_legacy\ran1_83_plots\print_versions\NBIOT_INBAND_CASE1_16355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3960" cy="2183806"/>
                    </a:xfrm>
                    <a:prstGeom prst="rect">
                      <a:avLst/>
                    </a:prstGeom>
                    <a:noFill/>
                    <a:ln>
                      <a:noFill/>
                    </a:ln>
                  </pic:spPr>
                </pic:pic>
              </a:graphicData>
            </a:graphic>
          </wp:inline>
        </w:drawing>
      </w:r>
    </w:p>
    <w:p w14:paraId="1710C1DB" w14:textId="57496648" w:rsidR="00717F20" w:rsidRDefault="00DE264A" w:rsidP="00DE264A">
      <w:pPr>
        <w:pStyle w:val="Caption"/>
        <w:rPr>
          <w:noProof/>
          <w:lang w:val="en-US" w:eastAsia="en-US"/>
        </w:rPr>
      </w:pPr>
      <w:bookmarkStart w:id="3" w:name="_Ref434589202"/>
      <w:r>
        <w:t xml:space="preserve">Figure </w:t>
      </w:r>
      <w:r>
        <w:fldChar w:fldCharType="begin"/>
      </w:r>
      <w:r>
        <w:instrText xml:space="preserve"> SEQ Figure \* ARABIC </w:instrText>
      </w:r>
      <w:r>
        <w:fldChar w:fldCharType="separate"/>
      </w:r>
      <w:r w:rsidR="00196FBC">
        <w:rPr>
          <w:noProof/>
        </w:rPr>
        <w:t>1</w:t>
      </w:r>
      <w:r>
        <w:fldChar w:fldCharType="end"/>
      </w:r>
      <w:r>
        <w:t xml:space="preserve"> </w:t>
      </w:r>
      <w:r w:rsidR="00914EAC">
        <w:t>There is a negligible i</w:t>
      </w:r>
      <w:r>
        <w:rPr>
          <w:noProof/>
        </w:rPr>
        <w:t xml:space="preserve">mpact of </w:t>
      </w:r>
      <w:r w:rsidR="00914EAC">
        <w:rPr>
          <w:noProof/>
        </w:rPr>
        <w:t xml:space="preserve">in-band </w:t>
      </w:r>
      <w:r>
        <w:rPr>
          <w:noProof/>
        </w:rPr>
        <w:t xml:space="preserve">NB-IOT </w:t>
      </w:r>
      <w:r w:rsidR="00914EAC">
        <w:rPr>
          <w:noProof/>
        </w:rPr>
        <w:t>transmission on LTE PU</w:t>
      </w:r>
      <w:r w:rsidR="00423E8A">
        <w:rPr>
          <w:noProof/>
        </w:rPr>
        <w:t>S</w:t>
      </w:r>
      <w:r w:rsidR="00914EAC">
        <w:rPr>
          <w:noProof/>
        </w:rPr>
        <w:t>CH</w:t>
      </w:r>
      <w:bookmarkEnd w:id="3"/>
      <w:r w:rsidR="00914EAC">
        <w:rPr>
          <w:noProof/>
        </w:rPr>
        <w:t xml:space="preserve"> for both the proposed SC-FDMA and GMSK design options.</w:t>
      </w:r>
    </w:p>
    <w:p w14:paraId="3727D75D" w14:textId="5F864170" w:rsidR="00717F20" w:rsidRDefault="00717F20" w:rsidP="00717F20">
      <w:pPr>
        <w:rPr>
          <w:b/>
          <w:lang w:val="en-US"/>
        </w:rPr>
      </w:pPr>
      <w:r w:rsidRPr="00914EAC">
        <w:rPr>
          <w:b/>
          <w:lang w:val="en-US"/>
        </w:rPr>
        <w:t xml:space="preserve">Case 2: </w:t>
      </w:r>
      <w:r w:rsidR="00914EAC">
        <w:rPr>
          <w:b/>
          <w:lang w:val="en-US"/>
        </w:rPr>
        <w:t>Effect on LTE PUCCH</w:t>
      </w:r>
    </w:p>
    <w:p w14:paraId="66F1F472" w14:textId="25CB27E4" w:rsidR="00423E8A" w:rsidRPr="00423E8A" w:rsidRDefault="00423E8A" w:rsidP="00717F20">
      <w:pPr>
        <w:rPr>
          <w:lang w:val="en-US"/>
        </w:rPr>
      </w:pPr>
      <w:r w:rsidRPr="00423E8A">
        <w:rPr>
          <w:lang w:val="en-US"/>
        </w:rPr>
        <w:t>The sim</w:t>
      </w:r>
      <w:r>
        <w:rPr>
          <w:lang w:val="en-US"/>
        </w:rPr>
        <w:t xml:space="preserve">ulation results are provided in </w:t>
      </w:r>
      <w:r w:rsidR="00C804B6">
        <w:rPr>
          <w:lang w:val="en-US"/>
        </w:rPr>
        <w:fldChar w:fldCharType="begin"/>
      </w:r>
      <w:r w:rsidR="00C804B6">
        <w:rPr>
          <w:lang w:val="en-US"/>
        </w:rPr>
        <w:instrText xml:space="preserve"> REF _Ref434589570 \h </w:instrText>
      </w:r>
      <w:r w:rsidR="00C804B6">
        <w:rPr>
          <w:lang w:val="en-US"/>
        </w:rPr>
      </w:r>
      <w:r w:rsidR="00C804B6">
        <w:rPr>
          <w:lang w:val="en-US"/>
        </w:rPr>
        <w:fldChar w:fldCharType="separate"/>
      </w:r>
      <w:r w:rsidR="00196FBC">
        <w:t xml:space="preserve">Figure </w:t>
      </w:r>
      <w:r w:rsidR="00196FBC">
        <w:rPr>
          <w:noProof/>
        </w:rPr>
        <w:t>2</w:t>
      </w:r>
      <w:r w:rsidR="00196FBC">
        <w:t xml:space="preserve"> </w:t>
      </w:r>
      <w:r w:rsidR="00196FBC" w:rsidRPr="00B63A02">
        <w:t>There is a negligible impact of in-band NB-IOT transmission on LTE PUCCH for both the proposed SC-FDMA and GMSK design options.</w:t>
      </w:r>
      <w:r w:rsidR="00C804B6">
        <w:rPr>
          <w:lang w:val="en-US"/>
        </w:rPr>
        <w:fldChar w:fldCharType="end"/>
      </w:r>
      <w:r w:rsidR="00C804B6">
        <w:rPr>
          <w:lang w:val="en-US"/>
        </w:rPr>
        <w:t xml:space="preserve"> </w:t>
      </w:r>
      <w:proofErr w:type="gramStart"/>
      <w:r w:rsidR="00C804B6">
        <w:rPr>
          <w:lang w:val="en-US"/>
        </w:rPr>
        <w:t>for</w:t>
      </w:r>
      <w:proofErr w:type="gramEnd"/>
      <w:r w:rsidR="00C804B6">
        <w:rPr>
          <w:lang w:val="en-US"/>
        </w:rPr>
        <w:t xml:space="preserve"> PUCCH Format 1b transmission. As in the previous case, the impact of NB-IOT transmission is quite small on PUCCH. It must be noted that the SNR range for PUCCH considered here is significantly lower than that for PUSCH earlier. </w:t>
      </w:r>
      <w:r w:rsidR="004C0B08">
        <w:rPr>
          <w:lang w:val="en-US"/>
        </w:rPr>
        <w:t>This implies that the interfering NB-IOT has a significantly larger SNR compared to the LTE UE. In spite of this, the impact on PUCCH is small on account of lower coding rate of PUCCH compared to PUSCH and slot-level hopping across the LTE system bandwidth.</w:t>
      </w:r>
    </w:p>
    <w:p w14:paraId="558C4B10" w14:textId="11594C6C" w:rsidR="00423E8A" w:rsidRDefault="004060C5" w:rsidP="00423E8A">
      <w:pPr>
        <w:keepNext/>
        <w:jc w:val="center"/>
      </w:pPr>
      <w:r>
        <w:rPr>
          <w:noProof/>
          <w:lang w:val="en-US" w:eastAsia="en-US"/>
        </w:rPr>
        <w:drawing>
          <wp:inline distT="0" distB="0" distL="0" distR="0" wp14:anchorId="74034A76" wp14:editId="15FD6DB4">
            <wp:extent cx="3110346" cy="2328884"/>
            <wp:effectExtent l="0" t="0" r="0" b="0"/>
            <wp:docPr id="19" name="Picture 19" descr="P:\ECL\narrowband_lte\results\coexistence_nb_legacy\ran1_83_plots\print_versions\NBLTE_GUARDBAND_1626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ECL\narrowband_lte\results\coexistence_nb_legacy\ran1_83_plots\print_versions\NBLTE_GUARDBAND_162604.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1437" cy="2329701"/>
                    </a:xfrm>
                    <a:prstGeom prst="rect">
                      <a:avLst/>
                    </a:prstGeom>
                    <a:noFill/>
                    <a:ln>
                      <a:noFill/>
                    </a:ln>
                  </pic:spPr>
                </pic:pic>
              </a:graphicData>
            </a:graphic>
          </wp:inline>
        </w:drawing>
      </w:r>
      <w:r w:rsidR="00270E2A" w:rsidRPr="00270E2A">
        <w:rPr>
          <w:noProof/>
          <w:lang w:val="en-US" w:eastAsia="en-US"/>
        </w:rPr>
        <w:t xml:space="preserve"> </w:t>
      </w:r>
      <w:r w:rsidR="00EB21AA">
        <w:rPr>
          <w:noProof/>
          <w:lang w:val="en-US" w:eastAsia="en-US"/>
        </w:rPr>
        <w:drawing>
          <wp:inline distT="0" distB="0" distL="0" distR="0" wp14:anchorId="29D578DE" wp14:editId="6A5D3C5F">
            <wp:extent cx="2939404" cy="2202873"/>
            <wp:effectExtent l="0" t="0" r="0" b="6985"/>
            <wp:docPr id="7" name="Picture 7" descr="P:\ECL\narrowband_lte\results\coexistence_nb_legacy\ran1_83_plots\print_versions\NBIOT_INBAND_CASE2_1638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CL\narrowband_lte\results\coexistence_nb_legacy\ran1_83_plots\print_versions\NBIOT_INBAND_CASE2_163876.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820" cy="2199438"/>
                    </a:xfrm>
                    <a:prstGeom prst="rect">
                      <a:avLst/>
                    </a:prstGeom>
                    <a:noFill/>
                    <a:ln>
                      <a:noFill/>
                    </a:ln>
                  </pic:spPr>
                </pic:pic>
              </a:graphicData>
            </a:graphic>
          </wp:inline>
        </w:drawing>
      </w:r>
    </w:p>
    <w:p w14:paraId="38EA7239" w14:textId="1399A6C1" w:rsidR="00CA3770" w:rsidRDefault="00423E8A" w:rsidP="00423E8A">
      <w:pPr>
        <w:pStyle w:val="Caption"/>
        <w:rPr>
          <w:lang w:val="en-US"/>
        </w:rPr>
      </w:pPr>
      <w:bookmarkStart w:id="4" w:name="_Ref434589570"/>
      <w:r>
        <w:t xml:space="preserve">Figure </w:t>
      </w:r>
      <w:r>
        <w:fldChar w:fldCharType="begin"/>
      </w:r>
      <w:r>
        <w:instrText xml:space="preserve"> SEQ Figure \* ARABIC </w:instrText>
      </w:r>
      <w:r>
        <w:fldChar w:fldCharType="separate"/>
      </w:r>
      <w:r w:rsidR="00196FBC">
        <w:rPr>
          <w:noProof/>
        </w:rPr>
        <w:t>2</w:t>
      </w:r>
      <w:r>
        <w:fldChar w:fldCharType="end"/>
      </w:r>
      <w:r>
        <w:t xml:space="preserve"> </w:t>
      </w:r>
      <w:r w:rsidRPr="00B63A02">
        <w:t>There is a negligible impact of in-band NB-IOT transmission on LTE PUCCH for both the proposed SC-FDMA and GMSK design options.</w:t>
      </w:r>
      <w:bookmarkEnd w:id="4"/>
    </w:p>
    <w:p w14:paraId="06A13DFD" w14:textId="77777777" w:rsidR="00837207" w:rsidRDefault="00837207" w:rsidP="00120E41">
      <w:pPr>
        <w:pStyle w:val="BodyText"/>
        <w:rPr>
          <w:lang w:val="en-US"/>
        </w:rPr>
      </w:pPr>
    </w:p>
    <w:p w14:paraId="2012025C" w14:textId="77777777" w:rsidR="006F6842" w:rsidRDefault="006F6842" w:rsidP="006F6842">
      <w:pPr>
        <w:pStyle w:val="Heading2"/>
        <w:rPr>
          <w:lang w:val="en-US"/>
        </w:rPr>
      </w:pPr>
      <w:bookmarkStart w:id="5" w:name="_Ref434588789"/>
      <w:r>
        <w:rPr>
          <w:lang w:val="en-US"/>
        </w:rPr>
        <w:t>High NB-IOT SNR Target (15 dB)</w:t>
      </w:r>
      <w:bookmarkEnd w:id="5"/>
    </w:p>
    <w:p w14:paraId="16F57ACA" w14:textId="509A0867" w:rsidR="00365315" w:rsidRPr="00365315" w:rsidRDefault="00365315" w:rsidP="00365315">
      <w:pPr>
        <w:rPr>
          <w:lang w:val="en-US"/>
        </w:rPr>
      </w:pPr>
      <w:r>
        <w:rPr>
          <w:lang w:val="en-US"/>
        </w:rPr>
        <w:t xml:space="preserve">The simulation results are provided in </w:t>
      </w:r>
      <w:r>
        <w:rPr>
          <w:lang w:val="en-US"/>
        </w:rPr>
        <w:fldChar w:fldCharType="begin"/>
      </w:r>
      <w:r>
        <w:rPr>
          <w:lang w:val="en-US"/>
        </w:rPr>
        <w:instrText xml:space="preserve"> REF _Ref434590080 \h </w:instrText>
      </w:r>
      <w:r>
        <w:rPr>
          <w:lang w:val="en-US"/>
        </w:rPr>
      </w:r>
      <w:r>
        <w:rPr>
          <w:lang w:val="en-US"/>
        </w:rPr>
        <w:fldChar w:fldCharType="separate"/>
      </w:r>
      <w:r w:rsidR="00196FBC">
        <w:t xml:space="preserve">Figure </w:t>
      </w:r>
      <w:r w:rsidR="00196FBC">
        <w:rPr>
          <w:noProof/>
        </w:rPr>
        <w:t>3</w:t>
      </w:r>
      <w:r>
        <w:rPr>
          <w:lang w:val="en-US"/>
        </w:rPr>
        <w:fldChar w:fldCharType="end"/>
      </w:r>
      <w:r>
        <w:rPr>
          <w:lang w:val="en-US"/>
        </w:rPr>
        <w:t xml:space="preserve"> for </w:t>
      </w:r>
      <w:proofErr w:type="spellStart"/>
      <w:r>
        <w:rPr>
          <w:lang w:val="en-US"/>
        </w:rPr>
        <w:t>inband</w:t>
      </w:r>
      <w:proofErr w:type="spellEnd"/>
      <w:r>
        <w:rPr>
          <w:lang w:val="en-US"/>
        </w:rPr>
        <w:t xml:space="preserve"> operation of NB-IOT UE with a SNR target of 15 </w:t>
      </w:r>
      <w:proofErr w:type="spellStart"/>
      <w:r>
        <w:rPr>
          <w:lang w:val="en-US"/>
        </w:rPr>
        <w:t>dB.</w:t>
      </w:r>
      <w:proofErr w:type="spellEnd"/>
      <w:r>
        <w:rPr>
          <w:lang w:val="en-US"/>
        </w:rPr>
        <w:t xml:space="preserve"> It is observed that for PUSCH spanning 1 PRB and 16 QAM </w:t>
      </w:r>
      <w:proofErr w:type="gramStart"/>
      <w:r>
        <w:rPr>
          <w:lang w:val="en-US"/>
        </w:rPr>
        <w:t>modulation</w:t>
      </w:r>
      <w:proofErr w:type="gramEnd"/>
      <w:r>
        <w:rPr>
          <w:lang w:val="en-US"/>
        </w:rPr>
        <w:t>, there is approximately 1 dB degradation in performance owing to the NB-IOT transmission with SC-FDMA design option.</w:t>
      </w:r>
      <w:r w:rsidR="00302EE8">
        <w:rPr>
          <w:lang w:val="en-US"/>
        </w:rPr>
        <w:t xml:space="preserve"> Similarly with GMSK-based uplink, the NB-IOT transmission causes approximately the same amount of degradation. On the other hand, PUSCH spanning 10 PRBs and using QPSK is quite robust to the NB-IOT transmission for both </w:t>
      </w:r>
      <w:r w:rsidR="00B45700">
        <w:rPr>
          <w:lang w:val="en-US"/>
        </w:rPr>
        <w:t xml:space="preserve">the </w:t>
      </w:r>
      <w:r w:rsidR="00302EE8">
        <w:rPr>
          <w:lang w:val="en-US"/>
        </w:rPr>
        <w:t>design options.</w:t>
      </w:r>
    </w:p>
    <w:p w14:paraId="2B97DB34" w14:textId="1A807D02" w:rsidR="00365315" w:rsidRDefault="00A47097" w:rsidP="00365315">
      <w:pPr>
        <w:keepNext/>
        <w:tabs>
          <w:tab w:val="left" w:pos="2268"/>
          <w:tab w:val="left" w:pos="13467"/>
        </w:tabs>
        <w:jc w:val="center"/>
      </w:pPr>
      <w:r>
        <w:rPr>
          <w:noProof/>
          <w:lang w:val="en-US" w:eastAsia="en-US"/>
        </w:rPr>
        <w:lastRenderedPageBreak/>
        <mc:AlternateContent>
          <mc:Choice Requires="wps">
            <w:drawing>
              <wp:anchor distT="0" distB="0" distL="114300" distR="114300" simplePos="0" relativeHeight="251667456" behindDoc="0" locked="0" layoutInCell="1" allowOverlap="1" wp14:anchorId="42F57F1F" wp14:editId="22609334">
                <wp:simplePos x="0" y="0"/>
                <wp:positionH relativeFrom="column">
                  <wp:posOffset>5155961</wp:posOffset>
                </wp:positionH>
                <wp:positionV relativeFrom="paragraph">
                  <wp:posOffset>614160</wp:posOffset>
                </wp:positionV>
                <wp:extent cx="937770" cy="257852"/>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770" cy="257852"/>
                        </a:xfrm>
                        <a:prstGeom prst="rect">
                          <a:avLst/>
                        </a:prstGeom>
                        <a:noFill/>
                        <a:ln w="9525">
                          <a:noFill/>
                          <a:miter lim="800000"/>
                          <a:headEnd/>
                          <a:tailEnd/>
                        </a:ln>
                      </wps:spPr>
                      <wps:txbx>
                        <w:txbxContent>
                          <w:p w14:paraId="40811EB1" w14:textId="77777777" w:rsidR="000677A0" w:rsidRPr="00161763" w:rsidRDefault="000677A0" w:rsidP="000677A0">
                            <w:pPr>
                              <w:rPr>
                                <w:sz w:val="16"/>
                              </w:rPr>
                            </w:pPr>
                            <w:r>
                              <w:rPr>
                                <w:sz w:val="16"/>
                              </w:rPr>
                              <w:t>1 PRB, 16-QAM</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32" type="#_x0000_t202" style="position:absolute;left:0;text-align:left;margin-left:406pt;margin-top:48.35pt;width:73.85pt;height:20.3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" filled="f" stroked="f">
                <v:textbox>
                  <w:txbxContent>
                    <w:p w14:paraId="40811EB1" w14:textId="77777777" w:rsidR="000677A0" w:rsidRPr="00161763" w:rsidRDefault="000677A0" w:rsidP="000677A0">
                      <w:pPr>
                        <w:rPr>
                          <w:sz w:val="16"/>
                        </w:rPr>
                      </w:pPr>
                      <w:r>
                        <w:rPr>
                          <w:sz w:val="16"/>
                        </w:rPr>
                        <w:t>1 PRB, 16-QAM</w:t>
                      </w:r>
                    </w:p>
                  </w:txbxContent>
                </v:textbox>
              </v:shape>
            </w:pict>
          </mc:Fallback>
        </mc:AlternateContent>
      </w:r>
      <w:r w:rsidR="006F6842">
        <w:rPr>
          <w:noProof/>
          <w:lang w:val="en-US" w:eastAsia="en-US"/>
        </w:rPr>
        <mc:AlternateContent>
          <mc:Choice Requires="wpg">
            <w:drawing>
              <wp:anchor distT="0" distB="0" distL="114300" distR="114300" simplePos="0" relativeHeight="251663360" behindDoc="0" locked="0" layoutInCell="1" allowOverlap="1" wp14:anchorId="5A3E4271" wp14:editId="29BD8919">
                <wp:simplePos x="0" y="0"/>
                <wp:positionH relativeFrom="column">
                  <wp:posOffset>169487</wp:posOffset>
                </wp:positionH>
                <wp:positionV relativeFrom="paragraph">
                  <wp:posOffset>789305</wp:posOffset>
                </wp:positionV>
                <wp:extent cx="2590725" cy="931932"/>
                <wp:effectExtent l="0" t="0" r="0" b="1905"/>
                <wp:wrapNone/>
                <wp:docPr id="289" name="Group 289"/>
                <wp:cNvGraphicFramePr/>
                <a:graphic xmlns:a="http://schemas.openxmlformats.org/drawingml/2006/main">
                  <a:graphicData uri="http://schemas.microsoft.com/office/word/2010/wordprocessingGroup">
                    <wpg:wgp>
                      <wpg:cNvGrpSpPr/>
                      <wpg:grpSpPr>
                        <a:xfrm>
                          <a:off x="0" y="0"/>
                          <a:ext cx="2590725" cy="931932"/>
                          <a:chOff x="-169986" y="0"/>
                          <a:chExt cx="2590725" cy="931932"/>
                        </a:xfrm>
                      </wpg:grpSpPr>
                      <wps:wsp>
                        <wps:cNvPr id="30" name="Text Box 2"/>
                        <wps:cNvSpPr txBox="1">
                          <a:spLocks noChangeArrowheads="1"/>
                        </wps:cNvSpPr>
                        <wps:spPr bwMode="auto">
                          <a:xfrm>
                            <a:off x="-169986" y="709242"/>
                            <a:ext cx="885021" cy="222690"/>
                          </a:xfrm>
                          <a:prstGeom prst="rect">
                            <a:avLst/>
                          </a:prstGeom>
                          <a:noFill/>
                          <a:ln w="9525">
                            <a:noFill/>
                            <a:miter lim="800000"/>
                            <a:headEnd/>
                            <a:tailEnd/>
                          </a:ln>
                        </wps:spPr>
                        <wps:txbx>
                          <w:txbxContent>
                            <w:p w14:paraId="158203D1" w14:textId="77777777" w:rsidR="006F6842" w:rsidRPr="00161763" w:rsidRDefault="006F6842" w:rsidP="006F6842">
                              <w:pPr>
                                <w:rPr>
                                  <w:sz w:val="16"/>
                                </w:rPr>
                              </w:pPr>
                              <w:r w:rsidRPr="00161763">
                                <w:rPr>
                                  <w:sz w:val="16"/>
                                </w:rPr>
                                <w:t>10 PRB</w:t>
                              </w:r>
                              <w:r>
                                <w:rPr>
                                  <w:sz w:val="16"/>
                                </w:rPr>
                                <w:t>, QPSK</w:t>
                              </w:r>
                            </w:p>
                          </w:txbxContent>
                        </wps:txbx>
                        <wps:bodyPr rot="0" vert="horz" wrap="square" lIns="91440" tIns="45720" rIns="91440" bIns="45720" anchor="t" anchorCtr="0">
                          <a:noAutofit/>
                        </wps:bodyPr>
                      </wps:wsp>
                      <wps:wsp>
                        <wps:cNvPr id="288" name="Text Box 2"/>
                        <wps:cNvSpPr txBox="1">
                          <a:spLocks noChangeArrowheads="1"/>
                        </wps:cNvSpPr>
                        <wps:spPr bwMode="auto">
                          <a:xfrm>
                            <a:off x="1482969" y="0"/>
                            <a:ext cx="937770" cy="257852"/>
                          </a:xfrm>
                          <a:prstGeom prst="rect">
                            <a:avLst/>
                          </a:prstGeom>
                          <a:noFill/>
                          <a:ln w="9525">
                            <a:noFill/>
                            <a:miter lim="800000"/>
                            <a:headEnd/>
                            <a:tailEnd/>
                          </a:ln>
                        </wps:spPr>
                        <wps:txbx>
                          <w:txbxContent>
                            <w:p w14:paraId="37D9229F" w14:textId="77777777" w:rsidR="006F6842" w:rsidRPr="00161763" w:rsidRDefault="006F6842" w:rsidP="006F6842">
                              <w:pPr>
                                <w:rPr>
                                  <w:sz w:val="16"/>
                                </w:rPr>
                              </w:pPr>
                              <w:r>
                                <w:rPr>
                                  <w:sz w:val="16"/>
                                </w:rPr>
                                <w:t>1 PRB, 16-QAM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89" o:spid="_x0000_s1035" style="position:absolute;left:0;text-align:left;margin-left:13.35pt;margin-top:62.15pt;width:204pt;height:73.4pt;z-index:251663360;mso-width-relative:margin;mso-height-relative:margin" coordorigin="-1699" coordsize="25907,9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">
                <v:shape id="Text Box 2" o:spid="_x0000_s1036" type="#_x0000_t202" style="position:absolute;left:-1699;top:7092;width:8849;height:2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158203D1" w14:textId="77777777" w:rsidR="006F6842" w:rsidRPr="00161763" w:rsidRDefault="006F6842" w:rsidP="006F6842">
                        <w:pPr>
                          <w:rPr>
                            <w:sz w:val="16"/>
                          </w:rPr>
                        </w:pPr>
                        <w:r w:rsidRPr="00161763">
                          <w:rPr>
                            <w:sz w:val="16"/>
                          </w:rPr>
                          <w:t>10 PRB</w:t>
                        </w:r>
                        <w:r>
                          <w:rPr>
                            <w:sz w:val="16"/>
                          </w:rPr>
                          <w:t>, QPSK</w:t>
                        </w:r>
                      </w:p>
                    </w:txbxContent>
                  </v:textbox>
                </v:shape>
                <v:shape id="Text Box 2" o:spid="_x0000_s1037" type="#_x0000_t202" style="position:absolute;left:14829;width:9378;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14:paraId="37D9229F" w14:textId="77777777" w:rsidR="006F6842" w:rsidRPr="00161763" w:rsidRDefault="006F6842" w:rsidP="006F6842">
                        <w:pPr>
                          <w:rPr>
                            <w:sz w:val="16"/>
                          </w:rPr>
                        </w:pPr>
                        <w:r>
                          <w:rPr>
                            <w:sz w:val="16"/>
                          </w:rPr>
                          <w:t>1 PRB, 16-QAM</w:t>
                        </w:r>
                      </w:p>
                    </w:txbxContent>
                  </v:textbox>
                </v:shape>
              </v:group>
            </w:pict>
          </mc:Fallback>
        </mc:AlternateContent>
      </w:r>
      <w:r w:rsidR="006F6842">
        <w:rPr>
          <w:noProof/>
          <w:lang w:val="en-US" w:eastAsia="en-US"/>
        </w:rPr>
        <w:drawing>
          <wp:inline distT="0" distB="0" distL="0" distR="0" wp14:anchorId="70637576" wp14:editId="655DD52C">
            <wp:extent cx="3061854" cy="2292574"/>
            <wp:effectExtent l="0" t="0" r="5715" b="0"/>
            <wp:docPr id="29" name="Picture 29" descr="P:\ECL\narrowband_lte\results\coexistence_nb_legacy\ran1_83_plots\print_versions\NBLTE_INBAND_CASE1_15dB_SNR_162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CL\narrowband_lte\results\coexistence_nb_legacy\ran1_83_plots\print_versions\NBLTE_INBAND_CASE1_15dB_SNR_16259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854" cy="2292574"/>
                    </a:xfrm>
                    <a:prstGeom prst="rect">
                      <a:avLst/>
                    </a:prstGeom>
                    <a:noFill/>
                    <a:ln>
                      <a:noFill/>
                    </a:ln>
                  </pic:spPr>
                </pic:pic>
              </a:graphicData>
            </a:graphic>
          </wp:inline>
        </w:drawing>
      </w:r>
      <w:r w:rsidR="00C8161B">
        <w:rPr>
          <w:noProof/>
          <w:lang w:val="en-US" w:eastAsia="en-US"/>
        </w:rPr>
        <w:drawing>
          <wp:inline distT="0" distB="0" distL="0" distR="0" wp14:anchorId="240EC9D3" wp14:editId="13BB0BF5">
            <wp:extent cx="2999509" cy="2247917"/>
            <wp:effectExtent l="0" t="0" r="0" b="0"/>
            <wp:docPr id="8" name="Picture 8" descr="P:\ECL\narrowband_lte\results\coexistence_nb_legacy\ran1_83_plots\print_versions\NBIOT_INBAND_CASE1_15dB_SNR_1625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CL\narrowband_lte\results\coexistence_nb_legacy\ran1_83_plots\print_versions\NBIOT_INBAND_CASE1_15dB_SNR_162554.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9525" cy="2247929"/>
                    </a:xfrm>
                    <a:prstGeom prst="rect">
                      <a:avLst/>
                    </a:prstGeom>
                    <a:noFill/>
                    <a:ln>
                      <a:noFill/>
                    </a:ln>
                  </pic:spPr>
                </pic:pic>
              </a:graphicData>
            </a:graphic>
          </wp:inline>
        </w:drawing>
      </w:r>
      <w:bookmarkStart w:id="6" w:name="_GoBack"/>
      <w:bookmarkEnd w:id="6"/>
    </w:p>
    <w:p w14:paraId="6DF139AB" w14:textId="064C9C3F" w:rsidR="006F6842" w:rsidRPr="007F2457" w:rsidRDefault="00365315" w:rsidP="00365315">
      <w:pPr>
        <w:pStyle w:val="Caption"/>
        <w:rPr>
          <w:lang w:val="en-US"/>
        </w:rPr>
      </w:pPr>
      <w:bookmarkStart w:id="7" w:name="_Ref434590080"/>
      <w:r>
        <w:t xml:space="preserve">Figure </w:t>
      </w:r>
      <w:r>
        <w:fldChar w:fldCharType="begin"/>
      </w:r>
      <w:r>
        <w:instrText xml:space="preserve"> SEQ Figure \* ARABIC </w:instrText>
      </w:r>
      <w:r>
        <w:fldChar w:fldCharType="separate"/>
      </w:r>
      <w:r w:rsidR="00196FBC">
        <w:rPr>
          <w:noProof/>
        </w:rPr>
        <w:t>3</w:t>
      </w:r>
      <w:r>
        <w:fldChar w:fldCharType="end"/>
      </w:r>
      <w:bookmarkEnd w:id="7"/>
      <w:r>
        <w:t xml:space="preserve"> With a SNR target of 15 dB, t</w:t>
      </w:r>
      <w:r w:rsidRPr="000518C1">
        <w:rPr>
          <w:noProof/>
        </w:rPr>
        <w:t xml:space="preserve">here is a </w:t>
      </w:r>
      <w:r>
        <w:rPr>
          <w:noProof/>
        </w:rPr>
        <w:t>some impact for PUSCH spanning 1 PRB, but insignificant impact on PUSCH spanning 10 PRBs</w:t>
      </w:r>
      <w:r w:rsidRPr="000518C1">
        <w:rPr>
          <w:noProof/>
        </w:rPr>
        <w:t>.</w:t>
      </w:r>
    </w:p>
    <w:p w14:paraId="7F89A117" w14:textId="77777777" w:rsidR="002150C4" w:rsidRDefault="002150C4" w:rsidP="0028474C">
      <w:pPr>
        <w:rPr>
          <w:lang w:val="en-US"/>
        </w:rPr>
      </w:pPr>
    </w:p>
    <w:p w14:paraId="5E5A2A91" w14:textId="0724CD5B" w:rsidR="0079133B" w:rsidRDefault="004060C5" w:rsidP="006F150A">
      <w:pPr>
        <w:pStyle w:val="Heading2"/>
        <w:rPr>
          <w:lang w:val="en-US"/>
        </w:rPr>
      </w:pPr>
      <w:bookmarkStart w:id="8" w:name="_Ref434588921"/>
      <w:r>
        <w:rPr>
          <w:lang w:val="en-US"/>
        </w:rPr>
        <w:t>NB-</w:t>
      </w:r>
      <w:proofErr w:type="spellStart"/>
      <w:r>
        <w:rPr>
          <w:lang w:val="en-US"/>
        </w:rPr>
        <w:t>IoT</w:t>
      </w:r>
      <w:proofErr w:type="spellEnd"/>
      <w:r>
        <w:rPr>
          <w:lang w:val="en-US"/>
        </w:rPr>
        <w:t xml:space="preserve"> </w:t>
      </w:r>
      <w:r w:rsidR="003E2CDD">
        <w:rPr>
          <w:lang w:val="en-US"/>
        </w:rPr>
        <w:t>Transmit Filter</w:t>
      </w:r>
      <w:bookmarkEnd w:id="8"/>
    </w:p>
    <w:p w14:paraId="1773A0F5" w14:textId="77777777" w:rsidR="008C152F" w:rsidRDefault="00AF4BAC" w:rsidP="00AF4BAC">
      <w:pPr>
        <w:rPr>
          <w:lang w:val="en-US"/>
        </w:rPr>
      </w:pPr>
      <w:r>
        <w:rPr>
          <w:lang w:val="en-US"/>
        </w:rPr>
        <w:t xml:space="preserve">The simulation results are provided in </w:t>
      </w:r>
      <w:r>
        <w:rPr>
          <w:lang w:val="en-US"/>
        </w:rPr>
        <w:fldChar w:fldCharType="begin"/>
      </w:r>
      <w:r>
        <w:rPr>
          <w:lang w:val="en-US"/>
        </w:rPr>
        <w:instrText xml:space="preserve"> REF _Ref434590649 \h </w:instrText>
      </w:r>
      <w:r>
        <w:rPr>
          <w:lang w:val="en-US"/>
        </w:rPr>
      </w:r>
      <w:r>
        <w:rPr>
          <w:lang w:val="en-US"/>
        </w:rPr>
        <w:fldChar w:fldCharType="separate"/>
      </w:r>
      <w:r w:rsidR="00196FBC">
        <w:t xml:space="preserve">Figure </w:t>
      </w:r>
      <w:r w:rsidR="00196FBC">
        <w:rPr>
          <w:noProof/>
        </w:rPr>
        <w:t>4</w:t>
      </w:r>
      <w:r>
        <w:rPr>
          <w:lang w:val="en-US"/>
        </w:rPr>
        <w:fldChar w:fldCharType="end"/>
      </w:r>
      <w:r>
        <w:rPr>
          <w:lang w:val="en-US"/>
        </w:rPr>
        <w:t xml:space="preserve"> for NB-IOT uplink based on SC-FDMA with a SNR target of 15 </w:t>
      </w:r>
      <w:proofErr w:type="spellStart"/>
      <w:r>
        <w:rPr>
          <w:lang w:val="en-US"/>
        </w:rPr>
        <w:t>dB.</w:t>
      </w:r>
      <w:proofErr w:type="spellEnd"/>
      <w:r>
        <w:rPr>
          <w:lang w:val="en-US"/>
        </w:rPr>
        <w:t xml:space="preserve"> </w:t>
      </w:r>
      <w:r w:rsidR="00105C00">
        <w:rPr>
          <w:lang w:val="en-US"/>
        </w:rPr>
        <w:t>The design of the transmit filter is dictated by the tradeoff between complexity, the amount of tolerable ripple in the passband, and the leakage requirements. Here, a</w:t>
      </w:r>
      <w:r>
        <w:rPr>
          <w:lang w:val="en-US"/>
        </w:rPr>
        <w:t xml:space="preserve"> linear phase transmit filter is employed t</w:t>
      </w:r>
      <w:r w:rsidR="00105C00">
        <w:rPr>
          <w:lang w:val="en-US"/>
        </w:rPr>
        <w:t>hat</w:t>
      </w:r>
      <w:r>
        <w:rPr>
          <w:lang w:val="en-US"/>
        </w:rPr>
        <w:t xml:space="preserve"> </w:t>
      </w:r>
      <w:r w:rsidR="00105C00">
        <w:rPr>
          <w:lang w:val="en-US"/>
        </w:rPr>
        <w:t xml:space="preserve">aims to achieve a nearly flat passband, with some shaping of the leakage outside the passband. </w:t>
      </w:r>
      <w:r w:rsidR="008C152F">
        <w:rPr>
          <w:lang w:val="en-US"/>
        </w:rPr>
        <w:t xml:space="preserve">The filter is sampled at 15.36 MHz and the filter coefficients are: </w:t>
      </w:r>
    </w:p>
    <w:p w14:paraId="1AA6A6C0" w14:textId="752EEAB3" w:rsidR="008C152F" w:rsidRPr="008C152F" w:rsidRDefault="008C152F" w:rsidP="00AF4BAC">
      <w:proofErr w:type="spellStart"/>
      <w:proofErr w:type="gramStart"/>
      <w:r w:rsidRPr="008C152F">
        <w:rPr>
          <w:lang w:val="en-US"/>
        </w:rPr>
        <w:t>Tx</w:t>
      </w:r>
      <w:proofErr w:type="spellEnd"/>
      <w:proofErr w:type="gramEnd"/>
      <w:r w:rsidR="00866B5D">
        <w:rPr>
          <w:lang w:val="en-US"/>
        </w:rPr>
        <w:t xml:space="preserve"> filter coefficients:</w:t>
      </w:r>
      <w:r w:rsidRPr="008C152F">
        <w:rPr>
          <w:lang w:val="en-US"/>
        </w:rPr>
        <w:t xml:space="preserve"> [-0.00443185295463317 -0.00627836254547044 -0.00878040718385451 -0.00368475365583634 0.0126674854412758 0.0434735449397468 0.0854607063900754 0.129627672308140 0.163458759647355 0.176159954154857 0.163458759647355 0.129627672308140 0.0854607063900754 0.0434735449397468 0.0126674854412758 -0.00368475365583634 -0.00878040718385451 -0.00627836254547044 -0.00443185295463317];</w:t>
      </w:r>
    </w:p>
    <w:p w14:paraId="010E902E" w14:textId="0657C462" w:rsidR="00AF4BAC" w:rsidRPr="00AF4BAC" w:rsidRDefault="00AF4BAC" w:rsidP="00AF4BAC">
      <w:pPr>
        <w:rPr>
          <w:lang w:val="en-US"/>
        </w:rPr>
      </w:pPr>
      <w:r>
        <w:rPr>
          <w:lang w:val="en-US"/>
        </w:rPr>
        <w:t>It is observed that such a filter has no impact on the i</w:t>
      </w:r>
      <w:r w:rsidR="00DF181B">
        <w:rPr>
          <w:lang w:val="en-US"/>
        </w:rPr>
        <w:t>nterference towards LTE uplink.</w:t>
      </w:r>
    </w:p>
    <w:bookmarkEnd w:id="1"/>
    <w:p w14:paraId="38B23500" w14:textId="7351E99E" w:rsidR="001D7C53" w:rsidRDefault="003706A3" w:rsidP="001D7C53">
      <w:pPr>
        <w:keepNext/>
        <w:jc w:val="center"/>
      </w:pPr>
      <w:r>
        <w:rPr>
          <w:noProof/>
          <w:lang w:val="en-US" w:eastAsia="en-US"/>
        </w:rPr>
        <w:drawing>
          <wp:inline distT="0" distB="0" distL="0" distR="0" wp14:anchorId="46B57FEE" wp14:editId="3BF9A594">
            <wp:extent cx="3284410" cy="2461260"/>
            <wp:effectExtent l="0" t="0" r="0" b="0"/>
            <wp:docPr id="291" name="Picture 291" descr="P:\ECL\narrowband_lte\results\coexistence_nb_legacy\ran1_83_plots\print_versions\NBLTE_TRANSMIT_FILTER_1626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ECL\narrowband_lte\results\coexistence_nb_legacy\ran1_83_plots\print_versions\NBLTE_TRANSMIT_FILTER_162605.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4410" cy="2461260"/>
                    </a:xfrm>
                    <a:prstGeom prst="rect">
                      <a:avLst/>
                    </a:prstGeom>
                    <a:noFill/>
                    <a:ln>
                      <a:noFill/>
                    </a:ln>
                  </pic:spPr>
                </pic:pic>
              </a:graphicData>
            </a:graphic>
          </wp:inline>
        </w:drawing>
      </w:r>
    </w:p>
    <w:p w14:paraId="577D2741" w14:textId="1F7D75E0" w:rsidR="0005434F" w:rsidRDefault="001D7C53" w:rsidP="001D7C53">
      <w:pPr>
        <w:pStyle w:val="Caption"/>
        <w:rPr>
          <w:lang w:val="en-US"/>
        </w:rPr>
      </w:pPr>
      <w:bookmarkStart w:id="9" w:name="_Ref434590649"/>
      <w:r>
        <w:t xml:space="preserve">Figure </w:t>
      </w:r>
      <w:r>
        <w:fldChar w:fldCharType="begin"/>
      </w:r>
      <w:r>
        <w:instrText xml:space="preserve"> SEQ Figure \* ARABIC </w:instrText>
      </w:r>
      <w:r>
        <w:fldChar w:fldCharType="separate"/>
      </w:r>
      <w:r w:rsidR="00196FBC">
        <w:rPr>
          <w:noProof/>
        </w:rPr>
        <w:t>4</w:t>
      </w:r>
      <w:r>
        <w:fldChar w:fldCharType="end"/>
      </w:r>
      <w:bookmarkEnd w:id="9"/>
      <w:r>
        <w:t xml:space="preserve"> A linear phase transmit filter has no significant impact on reducing the interference from NB-IOT transmission</w:t>
      </w:r>
      <w:r w:rsidR="00AF4BAC">
        <w:t xml:space="preserve"> with SNR target 15 </w:t>
      </w:r>
      <w:proofErr w:type="spellStart"/>
      <w:r w:rsidR="00AF4BAC">
        <w:t>dB</w:t>
      </w:r>
      <w:r w:rsidRPr="005F7F21">
        <w:t>.</w:t>
      </w:r>
      <w:proofErr w:type="spellEnd"/>
    </w:p>
    <w:p w14:paraId="40AAD1A3" w14:textId="07D19674" w:rsidR="006714D8" w:rsidRDefault="00656536" w:rsidP="006714D8">
      <w:pPr>
        <w:pStyle w:val="Heading2"/>
        <w:rPr>
          <w:lang w:val="en-US"/>
        </w:rPr>
      </w:pPr>
      <w:bookmarkStart w:id="10" w:name="_Ref434588947"/>
      <w:r>
        <w:rPr>
          <w:lang w:val="en-US"/>
        </w:rPr>
        <w:t xml:space="preserve">SC-FDMA based uplink with </w:t>
      </w:r>
      <w:r w:rsidR="006714D8">
        <w:rPr>
          <w:lang w:val="en-US"/>
        </w:rPr>
        <w:t>15 kHz</w:t>
      </w:r>
      <w:bookmarkEnd w:id="10"/>
      <w:r>
        <w:rPr>
          <w:lang w:val="en-US"/>
        </w:rPr>
        <w:t xml:space="preserve"> subcarrier spacing</w:t>
      </w:r>
    </w:p>
    <w:p w14:paraId="5088B6AB" w14:textId="15ABABF2" w:rsidR="00D96B29" w:rsidRPr="00D96B29" w:rsidRDefault="00D96B29" w:rsidP="00D96B29">
      <w:pPr>
        <w:rPr>
          <w:lang w:val="en-US"/>
        </w:rPr>
      </w:pPr>
      <w:r>
        <w:rPr>
          <w:lang w:val="en-US"/>
        </w:rPr>
        <w:t xml:space="preserve">The simulation results are provided in </w:t>
      </w:r>
      <w:r>
        <w:rPr>
          <w:lang w:val="en-US"/>
        </w:rPr>
        <w:fldChar w:fldCharType="begin"/>
      </w:r>
      <w:r>
        <w:rPr>
          <w:lang w:val="en-US"/>
        </w:rPr>
        <w:instrText xml:space="preserve"> REF _Ref434591107 \h </w:instrText>
      </w:r>
      <w:r>
        <w:rPr>
          <w:lang w:val="en-US"/>
        </w:rPr>
      </w:r>
      <w:r>
        <w:rPr>
          <w:lang w:val="en-US"/>
        </w:rPr>
        <w:fldChar w:fldCharType="separate"/>
      </w:r>
      <w:r w:rsidR="00196FBC">
        <w:t xml:space="preserve">Figure </w:t>
      </w:r>
      <w:r w:rsidR="00196FBC">
        <w:rPr>
          <w:noProof/>
        </w:rPr>
        <w:t>5</w:t>
      </w:r>
      <w:r>
        <w:rPr>
          <w:lang w:val="en-US"/>
        </w:rPr>
        <w:fldChar w:fldCharType="end"/>
      </w:r>
      <w:r>
        <w:rPr>
          <w:lang w:val="en-US"/>
        </w:rPr>
        <w:t xml:space="preserve"> with NB-IOT uplink based on SC-FDMA with a subcarrier spacing of 15 kHz. It is observed that even </w:t>
      </w:r>
      <w:r w:rsidR="00A21DFC">
        <w:rPr>
          <w:lang w:val="en-US"/>
        </w:rPr>
        <w:t>with a NB-IOT SNR target of 15 dB, there is almost no impact on the LTE uplink.</w:t>
      </w:r>
    </w:p>
    <w:p w14:paraId="1C90B87E" w14:textId="77777777" w:rsidR="001D7C53" w:rsidRDefault="006714D8" w:rsidP="001D7C53">
      <w:pPr>
        <w:pStyle w:val="BodyText"/>
        <w:keepNext/>
        <w:jc w:val="center"/>
      </w:pPr>
      <w:r>
        <w:rPr>
          <w:noProof/>
          <w:lang w:val="en-US" w:eastAsia="en-US"/>
        </w:rPr>
        <w:lastRenderedPageBreak/>
        <w:drawing>
          <wp:inline distT="0" distB="0" distL="0" distR="0" wp14:anchorId="51F64A1A" wp14:editId="7085A5ED">
            <wp:extent cx="3411415" cy="2554310"/>
            <wp:effectExtent l="0" t="0" r="0" b="0"/>
            <wp:docPr id="27" name="Picture 27" descr="P:\ECL\narrowband_lte\results\coexistence_nb_legacy\ran1_83_plots\print_versions\NBLTE_INBAND_CASE1_15kHz_1627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ECL\narrowband_lte\results\coexistence_nb_legacy\ran1_83_plots\print_versions\NBLTE_INBAND_CASE1_15kHz_16278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7902" cy="2559167"/>
                    </a:xfrm>
                    <a:prstGeom prst="rect">
                      <a:avLst/>
                    </a:prstGeom>
                    <a:noFill/>
                    <a:ln>
                      <a:noFill/>
                    </a:ln>
                  </pic:spPr>
                </pic:pic>
              </a:graphicData>
            </a:graphic>
          </wp:inline>
        </w:drawing>
      </w:r>
    </w:p>
    <w:p w14:paraId="743936C0" w14:textId="36E60355" w:rsidR="006714D8" w:rsidRDefault="001D7C53" w:rsidP="001D7C53">
      <w:pPr>
        <w:pStyle w:val="Caption"/>
        <w:rPr>
          <w:lang w:val="en-US"/>
        </w:rPr>
      </w:pPr>
      <w:bookmarkStart w:id="11" w:name="_Ref434591107"/>
      <w:r>
        <w:t xml:space="preserve">Figure </w:t>
      </w:r>
      <w:r>
        <w:fldChar w:fldCharType="begin"/>
      </w:r>
      <w:r>
        <w:instrText xml:space="preserve"> SEQ Figure \* ARABIC </w:instrText>
      </w:r>
      <w:r>
        <w:fldChar w:fldCharType="separate"/>
      </w:r>
      <w:r w:rsidR="00196FBC">
        <w:rPr>
          <w:noProof/>
        </w:rPr>
        <w:t>5</w:t>
      </w:r>
      <w:r>
        <w:fldChar w:fldCharType="end"/>
      </w:r>
      <w:bookmarkEnd w:id="11"/>
      <w:r>
        <w:t xml:space="preserve"> </w:t>
      </w:r>
      <w:r>
        <w:rPr>
          <w:noProof/>
        </w:rPr>
        <w:t>Choosing a 15 kHz subcarrier spacing for SC-FDMA uplink mitigates leakage to LTE uplink even with a NB-IOT SNR target</w:t>
      </w:r>
      <w:r w:rsidR="00D96B29">
        <w:rPr>
          <w:noProof/>
        </w:rPr>
        <w:t xml:space="preserve"> of 15 dB</w:t>
      </w:r>
      <w:r w:rsidRPr="00FC2CA8">
        <w:rPr>
          <w:noProof/>
        </w:rPr>
        <w:t>.</w:t>
      </w:r>
    </w:p>
    <w:p w14:paraId="3826B998" w14:textId="77777777" w:rsidR="006714D8" w:rsidRDefault="006714D8" w:rsidP="004060C5">
      <w:pPr>
        <w:jc w:val="center"/>
        <w:rPr>
          <w:lang w:val="en-US"/>
        </w:rPr>
      </w:pPr>
    </w:p>
    <w:p w14:paraId="293880A9" w14:textId="77777777" w:rsidR="006F4CC8" w:rsidRDefault="006F4CC8" w:rsidP="0055132A">
      <w:pPr>
        <w:pStyle w:val="BodyText"/>
        <w:jc w:val="center"/>
        <w:rPr>
          <w:lang w:val="en-US"/>
        </w:rPr>
      </w:pPr>
    </w:p>
    <w:p w14:paraId="3CEA17EF" w14:textId="1A16ED87" w:rsidR="00D70CFF" w:rsidRDefault="00D70CFF" w:rsidP="00D70CFF">
      <w:pPr>
        <w:pStyle w:val="Heading1"/>
        <w:rPr>
          <w:lang w:val="en-US"/>
        </w:rPr>
      </w:pPr>
      <w:r>
        <w:rPr>
          <w:lang w:val="en-US"/>
        </w:rPr>
        <w:t>Conclusion</w:t>
      </w:r>
    </w:p>
    <w:p w14:paraId="3C3360D7" w14:textId="6EFFE32D" w:rsidR="00D70CFF" w:rsidRPr="00D70CFF" w:rsidRDefault="00D70CFF" w:rsidP="00D70CFF">
      <w:pPr>
        <w:rPr>
          <w:lang w:val="en-US"/>
        </w:rPr>
      </w:pPr>
      <w:proofErr w:type="gramStart"/>
      <w:r>
        <w:rPr>
          <w:lang w:val="en-US"/>
        </w:rPr>
        <w:t>The simulation results show that in the uplink, in-band deployment of either of the NB-IOT design options, viz. SC-FDMA with 2.5 kHz subcarrier spacing and FDMA with GMSK, have an insignificant impact on the LTE system.</w:t>
      </w:r>
      <w:proofErr w:type="gramEnd"/>
      <w:r>
        <w:rPr>
          <w:lang w:val="en-US"/>
        </w:rPr>
        <w:t xml:space="preserve"> </w:t>
      </w:r>
    </w:p>
    <w:p w14:paraId="2C1BADDF" w14:textId="77777777" w:rsidR="00D70CFF" w:rsidRDefault="00D70CFF" w:rsidP="0055132A">
      <w:pPr>
        <w:pStyle w:val="BodyText"/>
        <w:jc w:val="center"/>
        <w:rPr>
          <w:lang w:val="en-US"/>
        </w:rPr>
      </w:pPr>
    </w:p>
    <w:p w14:paraId="576BA8A6" w14:textId="69BB2F1B" w:rsidR="001A4E75" w:rsidRDefault="00D70CFF" w:rsidP="001A4E75">
      <w:pPr>
        <w:pStyle w:val="Heading1"/>
        <w:rPr>
          <w:lang w:val="en-US"/>
        </w:rPr>
      </w:pPr>
      <w:r>
        <w:rPr>
          <w:lang w:val="en-US"/>
        </w:rPr>
        <w:t xml:space="preserve">Additional </w:t>
      </w:r>
      <w:r w:rsidR="001A4E75">
        <w:rPr>
          <w:lang w:val="en-US"/>
        </w:rPr>
        <w:t>Simulation Param</w:t>
      </w:r>
      <w:r w:rsidR="00FD74AB">
        <w:rPr>
          <w:lang w:val="en-US"/>
        </w:rPr>
        <w:t>e</w:t>
      </w:r>
      <w:r w:rsidR="001A4E75">
        <w:rPr>
          <w:lang w:val="en-US"/>
        </w:rPr>
        <w:t>ters</w:t>
      </w:r>
    </w:p>
    <w:p w14:paraId="38E06D9B" w14:textId="6F7EE57E" w:rsidR="001A4E75" w:rsidRDefault="001A4E75" w:rsidP="001A4E75">
      <w:pPr>
        <w:rPr>
          <w:lang w:val="en-US"/>
        </w:rPr>
      </w:pPr>
      <w:r>
        <w:rPr>
          <w:lang w:val="en-US"/>
        </w:rPr>
        <w:t xml:space="preserve">In addition to the simulation parameters described in </w:t>
      </w:r>
      <w:r>
        <w:rPr>
          <w:lang w:val="en-US"/>
        </w:rPr>
        <w:fldChar w:fldCharType="begin"/>
      </w:r>
      <w:r>
        <w:rPr>
          <w:lang w:val="en-US"/>
        </w:rPr>
        <w:instrText xml:space="preserve"> REF _Ref434576561 \r \h </w:instrText>
      </w:r>
      <w:r>
        <w:rPr>
          <w:lang w:val="en-US"/>
        </w:rPr>
      </w:r>
      <w:r>
        <w:rPr>
          <w:lang w:val="en-US"/>
        </w:rPr>
        <w:fldChar w:fldCharType="separate"/>
      </w:r>
      <w:r w:rsidR="00196FBC">
        <w:rPr>
          <w:lang w:val="en-US"/>
        </w:rPr>
        <w:t>[2]</w:t>
      </w:r>
      <w:r>
        <w:rPr>
          <w:lang w:val="en-US"/>
        </w:rPr>
        <w:fldChar w:fldCharType="end"/>
      </w:r>
      <w:r>
        <w:rPr>
          <w:lang w:val="en-US"/>
        </w:rPr>
        <w:t xml:space="preserve">, the following parameters </w:t>
      </w:r>
      <w:r w:rsidR="00D04E5D">
        <w:rPr>
          <w:lang w:val="en-US"/>
        </w:rPr>
        <w:t>have been</w:t>
      </w:r>
      <w:r>
        <w:rPr>
          <w:lang w:val="en-US"/>
        </w:rPr>
        <w:t xml:space="preserve"> used:</w:t>
      </w:r>
    </w:p>
    <w:tbl>
      <w:tblPr>
        <w:tblStyle w:val="TableGrid"/>
        <w:tblW w:w="0" w:type="auto"/>
        <w:jc w:val="center"/>
        <w:tblInd w:w="-359" w:type="dxa"/>
        <w:tblLook w:val="04A0" w:firstRow="1" w:lastRow="0" w:firstColumn="1" w:lastColumn="0" w:noHBand="0" w:noVBand="1"/>
      </w:tblPr>
      <w:tblGrid>
        <w:gridCol w:w="4309"/>
        <w:gridCol w:w="4394"/>
      </w:tblGrid>
      <w:tr w:rsidR="001A4E75" w14:paraId="332C34A9" w14:textId="77777777" w:rsidTr="001A4E75">
        <w:trPr>
          <w:jc w:val="center"/>
        </w:trPr>
        <w:tc>
          <w:tcPr>
            <w:tcW w:w="4309" w:type="dxa"/>
          </w:tcPr>
          <w:p w14:paraId="4E93F211" w14:textId="4455F6E2" w:rsidR="001A4E75" w:rsidRPr="001A4E75" w:rsidRDefault="001A4E75" w:rsidP="001A4E75">
            <w:pPr>
              <w:rPr>
                <w:b/>
                <w:lang w:val="en-US"/>
              </w:rPr>
            </w:pPr>
            <w:r w:rsidRPr="001A4E75">
              <w:rPr>
                <w:b/>
                <w:lang w:val="en-US"/>
              </w:rPr>
              <w:t>Parameter</w:t>
            </w:r>
          </w:p>
        </w:tc>
        <w:tc>
          <w:tcPr>
            <w:tcW w:w="4394" w:type="dxa"/>
          </w:tcPr>
          <w:p w14:paraId="1CBA53C4" w14:textId="4BA0754F" w:rsidR="001A4E75" w:rsidRPr="001A4E75" w:rsidRDefault="001A4E75" w:rsidP="001A4E75">
            <w:pPr>
              <w:rPr>
                <w:b/>
                <w:lang w:val="en-US"/>
              </w:rPr>
            </w:pPr>
            <w:r w:rsidRPr="001A4E75">
              <w:rPr>
                <w:b/>
                <w:lang w:val="en-US"/>
              </w:rPr>
              <w:t>Value</w:t>
            </w:r>
          </w:p>
        </w:tc>
      </w:tr>
      <w:tr w:rsidR="001A4E75" w14:paraId="76717EB2" w14:textId="77777777" w:rsidTr="001A4E75">
        <w:trPr>
          <w:jc w:val="center"/>
        </w:trPr>
        <w:tc>
          <w:tcPr>
            <w:tcW w:w="4309" w:type="dxa"/>
          </w:tcPr>
          <w:p w14:paraId="4C51D048" w14:textId="3DD7620F" w:rsidR="001A4E75" w:rsidRDefault="001A4E75" w:rsidP="001A4E75">
            <w:pPr>
              <w:rPr>
                <w:lang w:val="en-US"/>
              </w:rPr>
            </w:pPr>
            <w:r>
              <w:rPr>
                <w:lang w:val="en-US"/>
              </w:rPr>
              <w:t>NB-IOT Occupancy (SC-FDMA design)</w:t>
            </w:r>
          </w:p>
        </w:tc>
        <w:tc>
          <w:tcPr>
            <w:tcW w:w="4394" w:type="dxa"/>
          </w:tcPr>
          <w:p w14:paraId="79B02B13" w14:textId="5BF600A8" w:rsidR="001A4E75" w:rsidRDefault="001A4E75" w:rsidP="001A4E75">
            <w:pPr>
              <w:rPr>
                <w:lang w:val="en-US"/>
              </w:rPr>
            </w:pPr>
            <w:r>
              <w:rPr>
                <w:lang w:val="en-US"/>
              </w:rPr>
              <w:t>36 subcarriers (90 kHz bandwidth)</w:t>
            </w:r>
          </w:p>
        </w:tc>
      </w:tr>
      <w:tr w:rsidR="001A4E75" w14:paraId="1EFF87CF" w14:textId="77777777" w:rsidTr="001A4E75">
        <w:trPr>
          <w:jc w:val="center"/>
        </w:trPr>
        <w:tc>
          <w:tcPr>
            <w:tcW w:w="4309" w:type="dxa"/>
          </w:tcPr>
          <w:p w14:paraId="7B166A2C" w14:textId="0AD9AE07" w:rsidR="001A4E75" w:rsidRDefault="001A4E75" w:rsidP="001A4E75">
            <w:pPr>
              <w:rPr>
                <w:lang w:val="en-US"/>
              </w:rPr>
            </w:pPr>
            <w:r>
              <w:rPr>
                <w:lang w:val="en-US"/>
              </w:rPr>
              <w:t>NB-IOT Occupancy (GMSK design)</w:t>
            </w:r>
          </w:p>
        </w:tc>
        <w:tc>
          <w:tcPr>
            <w:tcW w:w="4394" w:type="dxa"/>
          </w:tcPr>
          <w:p w14:paraId="25F40F66" w14:textId="1E20CCD5" w:rsidR="001A4E75" w:rsidRDefault="001A4E75" w:rsidP="001A4E75">
            <w:pPr>
              <w:rPr>
                <w:lang w:val="en-US"/>
              </w:rPr>
            </w:pPr>
            <w:r>
              <w:rPr>
                <w:lang w:val="en-US"/>
              </w:rPr>
              <w:t>Single GMSK carrier (5 MHz bandwidth)</w:t>
            </w:r>
          </w:p>
        </w:tc>
      </w:tr>
      <w:tr w:rsidR="001A4E75" w14:paraId="388B4E6A" w14:textId="77777777" w:rsidTr="001A4E75">
        <w:trPr>
          <w:jc w:val="center"/>
        </w:trPr>
        <w:tc>
          <w:tcPr>
            <w:tcW w:w="4309" w:type="dxa"/>
          </w:tcPr>
          <w:p w14:paraId="41ED028C" w14:textId="0E90F052" w:rsidR="001A4E75" w:rsidRDefault="001A4E75" w:rsidP="001A4E75">
            <w:pPr>
              <w:rPr>
                <w:lang w:val="en-US"/>
              </w:rPr>
            </w:pPr>
            <w:r>
              <w:rPr>
                <w:lang w:val="en-US"/>
              </w:rPr>
              <w:t>Frequency error, LTE UE</w:t>
            </w:r>
          </w:p>
        </w:tc>
        <w:tc>
          <w:tcPr>
            <w:tcW w:w="4394" w:type="dxa"/>
          </w:tcPr>
          <w:p w14:paraId="3C8795D1" w14:textId="118AF3FE" w:rsidR="001A4E75" w:rsidRDefault="001A4E75" w:rsidP="001A4E75">
            <w:pPr>
              <w:rPr>
                <w:lang w:val="en-US"/>
              </w:rPr>
            </w:pPr>
            <w:r>
              <w:rPr>
                <w:lang w:val="en-US"/>
              </w:rPr>
              <w:t>90 Hz</w:t>
            </w:r>
          </w:p>
        </w:tc>
      </w:tr>
      <w:tr w:rsidR="001A4E75" w14:paraId="02F9BFE5" w14:textId="77777777" w:rsidTr="001A4E75">
        <w:trPr>
          <w:jc w:val="center"/>
        </w:trPr>
        <w:tc>
          <w:tcPr>
            <w:tcW w:w="4309" w:type="dxa"/>
          </w:tcPr>
          <w:p w14:paraId="534C0A07" w14:textId="23BC6D57" w:rsidR="001A4E75" w:rsidRDefault="001A4E75" w:rsidP="001A4E75">
            <w:pPr>
              <w:rPr>
                <w:lang w:val="en-US"/>
              </w:rPr>
            </w:pPr>
            <w:r>
              <w:rPr>
                <w:lang w:val="en-US"/>
              </w:rPr>
              <w:t>Frequency error, NB-IOT UE (SC-FDMA)</w:t>
            </w:r>
          </w:p>
        </w:tc>
        <w:tc>
          <w:tcPr>
            <w:tcW w:w="4394" w:type="dxa"/>
          </w:tcPr>
          <w:p w14:paraId="2729A05C" w14:textId="5C67B4AB" w:rsidR="001A4E75" w:rsidRDefault="001A4E75" w:rsidP="001A4E75">
            <w:pPr>
              <w:rPr>
                <w:lang w:val="en-US"/>
              </w:rPr>
            </w:pPr>
            <w:r>
              <w:rPr>
                <w:lang w:val="en-US"/>
              </w:rPr>
              <w:t>95 Hz</w:t>
            </w:r>
          </w:p>
        </w:tc>
      </w:tr>
      <w:tr w:rsidR="001A4E75" w14:paraId="056961CB" w14:textId="77777777" w:rsidTr="001A4E75">
        <w:trPr>
          <w:jc w:val="center"/>
        </w:trPr>
        <w:tc>
          <w:tcPr>
            <w:tcW w:w="4309" w:type="dxa"/>
          </w:tcPr>
          <w:p w14:paraId="424358D5" w14:textId="0EBB5DCD" w:rsidR="001A4E75" w:rsidRDefault="001A4E75" w:rsidP="001A4E75">
            <w:pPr>
              <w:rPr>
                <w:lang w:val="en-US"/>
              </w:rPr>
            </w:pPr>
            <w:r>
              <w:rPr>
                <w:lang w:val="en-US"/>
              </w:rPr>
              <w:t>Timing error, NB-IOT UE (SC-FDMA)</w:t>
            </w:r>
          </w:p>
        </w:tc>
        <w:tc>
          <w:tcPr>
            <w:tcW w:w="4394" w:type="dxa"/>
          </w:tcPr>
          <w:p w14:paraId="2CB3B667" w14:textId="3E1996E5" w:rsidR="001A4E75" w:rsidRDefault="001A4E75" w:rsidP="001A4E75">
            <w:pPr>
              <w:rPr>
                <w:lang w:val="en-US"/>
              </w:rPr>
            </w:pPr>
            <w:r>
              <w:rPr>
                <w:lang w:val="en-US"/>
              </w:rPr>
              <w:t xml:space="preserve">2.5 </w:t>
            </w:r>
            <w:r>
              <w:rPr>
                <w:rFonts w:cs="Arial"/>
                <w:lang w:val="en-US"/>
              </w:rPr>
              <w:t>µ</w:t>
            </w:r>
            <w:r>
              <w:rPr>
                <w:lang w:val="en-US"/>
              </w:rPr>
              <w:t>s</w:t>
            </w:r>
          </w:p>
        </w:tc>
      </w:tr>
    </w:tbl>
    <w:p w14:paraId="04796783" w14:textId="6E094AC6" w:rsidR="003E2CDD" w:rsidRDefault="003E2CDD" w:rsidP="001A4E75">
      <w:pPr>
        <w:pStyle w:val="BodyText"/>
        <w:rPr>
          <w:lang w:val="en-US"/>
        </w:rPr>
      </w:pP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2" w:name="_Ref397674406"/>
      <w:bookmarkStart w:id="13" w:name="_Ref403069021"/>
      <w:bookmarkStart w:id="14"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2"/>
      <w:bookmarkEnd w:id="13"/>
      <w:r>
        <w:rPr>
          <w:lang w:val="en-US"/>
        </w:rPr>
        <w:t>, Phoenix, AZ, USA</w:t>
      </w:r>
      <w:r w:rsidR="009144F7">
        <w:rPr>
          <w:lang w:val="en-US"/>
        </w:rPr>
        <w:t>.</w:t>
      </w:r>
    </w:p>
    <w:p w14:paraId="347F37E0" w14:textId="033921E2" w:rsidR="00F725E2" w:rsidRPr="00FC75A7" w:rsidRDefault="00FC75A7" w:rsidP="009C6A73">
      <w:pPr>
        <w:pStyle w:val="Reference"/>
        <w:rPr>
          <w:lang w:val="en-US"/>
        </w:rPr>
      </w:pPr>
      <w:bookmarkStart w:id="15" w:name="_Ref434576561"/>
      <w:r>
        <w:rPr>
          <w:lang w:val="en-US"/>
        </w:rPr>
        <w:t>R1- 156384, “</w:t>
      </w:r>
      <w:r w:rsidRPr="00FC75A7">
        <w:rPr>
          <w:lang w:val="en-US"/>
        </w:rPr>
        <w:t xml:space="preserve">Link-level evaluation assumptions for </w:t>
      </w:r>
      <w:r>
        <w:rPr>
          <w:lang w:val="en-US"/>
        </w:rPr>
        <w:t>in</w:t>
      </w:r>
      <w:r w:rsidRPr="00FC75A7">
        <w:rPr>
          <w:lang w:val="en-US"/>
        </w:rPr>
        <w:t>-band deployment</w:t>
      </w:r>
      <w:r>
        <w:rPr>
          <w:lang w:val="en-US"/>
        </w:rPr>
        <w:t xml:space="preserve">”, Huawei, </w:t>
      </w:r>
      <w:proofErr w:type="spellStart"/>
      <w:r>
        <w:rPr>
          <w:lang w:val="en-US"/>
        </w:rPr>
        <w:t>HiSilicon</w:t>
      </w:r>
      <w:proofErr w:type="spellEnd"/>
      <w:r>
        <w:rPr>
          <w:lang w:val="en-US"/>
        </w:rPr>
        <w:t xml:space="preserve">, </w:t>
      </w:r>
      <w:r w:rsidRPr="00FC75A7">
        <w:rPr>
          <w:lang w:val="en-US"/>
        </w:rPr>
        <w:t>October 2015</w:t>
      </w:r>
      <w:r>
        <w:rPr>
          <w:lang w:val="en-US"/>
        </w:rPr>
        <w:t>, Malmo, Sweden.</w:t>
      </w:r>
      <w:bookmarkEnd w:id="14"/>
      <w:bookmarkEnd w:id="15"/>
    </w:p>
    <w:sectPr w:rsidR="00F725E2" w:rsidRPr="00FC75A7"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DE556" w14:textId="77777777" w:rsidR="00AA742E" w:rsidRDefault="00AA742E">
      <w:pPr>
        <w:spacing w:after="0"/>
      </w:pPr>
      <w:r>
        <w:separator/>
      </w:r>
    </w:p>
  </w:endnote>
  <w:endnote w:type="continuationSeparator" w:id="0">
    <w:p w14:paraId="231A6A16" w14:textId="77777777" w:rsidR="00AA742E" w:rsidRDefault="00AA7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227291" w:rsidRDefault="00227291">
    <w:pPr>
      <w:pStyle w:val="Footer"/>
      <w:ind w:right="-1521"/>
    </w:pPr>
    <w:r>
      <w:rPr>
        <w:rStyle w:val="PageNumber"/>
      </w:rPr>
      <w:fldChar w:fldCharType="begin"/>
    </w:r>
    <w:r>
      <w:rPr>
        <w:rStyle w:val="PageNumber"/>
      </w:rPr>
      <w:instrText xml:space="preserve"> PAGE </w:instrText>
    </w:r>
    <w:r>
      <w:rPr>
        <w:rStyle w:val="PageNumber"/>
      </w:rPr>
      <w:fldChar w:fldCharType="separate"/>
    </w:r>
    <w:r w:rsidR="00C8161B">
      <w:rPr>
        <w:rStyle w:val="PageNumber"/>
      </w:rPr>
      <w:t>3</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161B">
      <w:rPr>
        <w:rStyle w:val="PageNumber"/>
      </w:rPr>
      <w:t>4</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227291" w:rsidRDefault="00227291">
    <w:pPr>
      <w:pStyle w:val="Footer"/>
    </w:pPr>
    <w:r>
      <w:rPr>
        <w:rStyle w:val="PageNumber"/>
      </w:rPr>
      <w:fldChar w:fldCharType="begin"/>
    </w:r>
    <w:r>
      <w:rPr>
        <w:rStyle w:val="PageNumber"/>
      </w:rPr>
      <w:instrText xml:space="preserve"> PAGE </w:instrText>
    </w:r>
    <w:r>
      <w:rPr>
        <w:rStyle w:val="PageNumber"/>
      </w:rPr>
      <w:fldChar w:fldCharType="separate"/>
    </w:r>
    <w:r w:rsidR="00EB21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21AA">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80F81" w14:textId="77777777" w:rsidR="00AA742E" w:rsidRDefault="00AA742E">
      <w:pPr>
        <w:spacing w:after="0"/>
      </w:pPr>
      <w:r>
        <w:separator/>
      </w:r>
    </w:p>
  </w:footnote>
  <w:footnote w:type="continuationSeparator" w:id="0">
    <w:p w14:paraId="3E148749" w14:textId="77777777" w:rsidR="00AA742E" w:rsidRDefault="00AA74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227291" w:rsidRPr="006A0FC7" w:rsidRDefault="0022729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227291" w:rsidRPr="00BF30DA" w:rsidRDefault="0022729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2">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2"/>
  </w:num>
  <w:num w:numId="3">
    <w:abstractNumId w:val="13"/>
  </w:num>
  <w:num w:numId="4">
    <w:abstractNumId w:val="1"/>
  </w:num>
  <w:num w:numId="5">
    <w:abstractNumId w:val="29"/>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0"/>
  </w:num>
  <w:num w:numId="22">
    <w:abstractNumId w:val="3"/>
  </w:num>
  <w:num w:numId="23">
    <w:abstractNumId w:val="27"/>
  </w:num>
  <w:num w:numId="24">
    <w:abstractNumId w:val="2"/>
  </w:num>
  <w:num w:numId="25">
    <w:abstractNumId w:val="15"/>
  </w:num>
  <w:num w:numId="26">
    <w:abstractNumId w:val="18"/>
  </w:num>
  <w:num w:numId="27">
    <w:abstractNumId w:val="5"/>
  </w:num>
  <w:num w:numId="28">
    <w:abstractNumId w:val="0"/>
  </w:num>
  <w:num w:numId="29">
    <w:abstractNumId w:val="16"/>
  </w:num>
  <w:num w:numId="30">
    <w:abstractNumId w:val="26"/>
  </w:num>
  <w:num w:numId="31">
    <w:abstractNumId w:val="23"/>
  </w:num>
  <w:num w:numId="32">
    <w:abstractNumId w:val="32"/>
  </w:num>
  <w:num w:numId="33">
    <w:abstractNumId w:val="10"/>
  </w:num>
  <w:num w:numId="34">
    <w:abstractNumId w:val="21"/>
  </w:num>
  <w:num w:numId="35">
    <w:abstractNumId w:val="3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28"/>
  </w:num>
  <w:num w:numId="41">
    <w:abstractNumId w:val="30"/>
  </w:num>
  <w:num w:numId="42">
    <w:abstractNumId w:val="23"/>
    <w:lvlOverride w:ilvl="0">
      <w:startOverride w:val="12"/>
    </w:lvlOverride>
  </w:num>
  <w:num w:numId="43">
    <w:abstractNumId w:val="17"/>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0F4C"/>
    <w:rsid w:val="0001270B"/>
    <w:rsid w:val="00013F4F"/>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013"/>
    <w:rsid w:val="0005434F"/>
    <w:rsid w:val="0005445E"/>
    <w:rsid w:val="00055864"/>
    <w:rsid w:val="00055E6D"/>
    <w:rsid w:val="00056096"/>
    <w:rsid w:val="0005712B"/>
    <w:rsid w:val="00057B28"/>
    <w:rsid w:val="000615F7"/>
    <w:rsid w:val="00061919"/>
    <w:rsid w:val="000661F7"/>
    <w:rsid w:val="000670B7"/>
    <w:rsid w:val="00067182"/>
    <w:rsid w:val="000677A0"/>
    <w:rsid w:val="000678C9"/>
    <w:rsid w:val="000700A9"/>
    <w:rsid w:val="0007045A"/>
    <w:rsid w:val="00071EB5"/>
    <w:rsid w:val="000721FC"/>
    <w:rsid w:val="00072382"/>
    <w:rsid w:val="00081297"/>
    <w:rsid w:val="000813FD"/>
    <w:rsid w:val="00081688"/>
    <w:rsid w:val="000857F2"/>
    <w:rsid w:val="00087350"/>
    <w:rsid w:val="0008796B"/>
    <w:rsid w:val="00091A7F"/>
    <w:rsid w:val="000922FF"/>
    <w:rsid w:val="00093C23"/>
    <w:rsid w:val="00093FC2"/>
    <w:rsid w:val="00096C16"/>
    <w:rsid w:val="000A207F"/>
    <w:rsid w:val="000A29C6"/>
    <w:rsid w:val="000A4FF9"/>
    <w:rsid w:val="000A6510"/>
    <w:rsid w:val="000B2C9C"/>
    <w:rsid w:val="000B31DD"/>
    <w:rsid w:val="000B3334"/>
    <w:rsid w:val="000B3427"/>
    <w:rsid w:val="000B3D9B"/>
    <w:rsid w:val="000B4484"/>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D71F5"/>
    <w:rsid w:val="000E114A"/>
    <w:rsid w:val="000E214E"/>
    <w:rsid w:val="000E2D68"/>
    <w:rsid w:val="000E2DED"/>
    <w:rsid w:val="000E3586"/>
    <w:rsid w:val="000E4E27"/>
    <w:rsid w:val="000E63C3"/>
    <w:rsid w:val="000E71AB"/>
    <w:rsid w:val="000E7F68"/>
    <w:rsid w:val="000F193F"/>
    <w:rsid w:val="000F2D08"/>
    <w:rsid w:val="000F2F61"/>
    <w:rsid w:val="000F443D"/>
    <w:rsid w:val="000F5A66"/>
    <w:rsid w:val="000F623B"/>
    <w:rsid w:val="000F6CDC"/>
    <w:rsid w:val="00100F09"/>
    <w:rsid w:val="00101458"/>
    <w:rsid w:val="001015B9"/>
    <w:rsid w:val="00101845"/>
    <w:rsid w:val="001033FB"/>
    <w:rsid w:val="00104263"/>
    <w:rsid w:val="0010487F"/>
    <w:rsid w:val="00104E0D"/>
    <w:rsid w:val="00105C00"/>
    <w:rsid w:val="00110906"/>
    <w:rsid w:val="00110F2A"/>
    <w:rsid w:val="00111F79"/>
    <w:rsid w:val="00112867"/>
    <w:rsid w:val="00114462"/>
    <w:rsid w:val="00114D8B"/>
    <w:rsid w:val="001203AA"/>
    <w:rsid w:val="00120E41"/>
    <w:rsid w:val="00121E8A"/>
    <w:rsid w:val="00125368"/>
    <w:rsid w:val="001254C4"/>
    <w:rsid w:val="00130ED8"/>
    <w:rsid w:val="001311CC"/>
    <w:rsid w:val="001354B2"/>
    <w:rsid w:val="00140C24"/>
    <w:rsid w:val="00142231"/>
    <w:rsid w:val="00142630"/>
    <w:rsid w:val="001426F5"/>
    <w:rsid w:val="00142768"/>
    <w:rsid w:val="0014633A"/>
    <w:rsid w:val="001466A9"/>
    <w:rsid w:val="00146EC4"/>
    <w:rsid w:val="00147E0D"/>
    <w:rsid w:val="00151C32"/>
    <w:rsid w:val="00152595"/>
    <w:rsid w:val="001547A1"/>
    <w:rsid w:val="0016019B"/>
    <w:rsid w:val="00160AA0"/>
    <w:rsid w:val="0016108C"/>
    <w:rsid w:val="00161763"/>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745C"/>
    <w:rsid w:val="00190C7B"/>
    <w:rsid w:val="00191B11"/>
    <w:rsid w:val="0019310F"/>
    <w:rsid w:val="00194A90"/>
    <w:rsid w:val="00196FBC"/>
    <w:rsid w:val="001A0E97"/>
    <w:rsid w:val="001A3ADC"/>
    <w:rsid w:val="001A4E75"/>
    <w:rsid w:val="001A652E"/>
    <w:rsid w:val="001B0EA1"/>
    <w:rsid w:val="001B3005"/>
    <w:rsid w:val="001B3616"/>
    <w:rsid w:val="001B5230"/>
    <w:rsid w:val="001B578B"/>
    <w:rsid w:val="001B58B6"/>
    <w:rsid w:val="001C0F89"/>
    <w:rsid w:val="001C1A66"/>
    <w:rsid w:val="001C384C"/>
    <w:rsid w:val="001C51B5"/>
    <w:rsid w:val="001C59CE"/>
    <w:rsid w:val="001C6000"/>
    <w:rsid w:val="001C6007"/>
    <w:rsid w:val="001C6B6B"/>
    <w:rsid w:val="001C72C8"/>
    <w:rsid w:val="001D06AC"/>
    <w:rsid w:val="001D07A5"/>
    <w:rsid w:val="001D48B8"/>
    <w:rsid w:val="001D589A"/>
    <w:rsid w:val="001D7C53"/>
    <w:rsid w:val="001E1C9C"/>
    <w:rsid w:val="001E213E"/>
    <w:rsid w:val="001E272E"/>
    <w:rsid w:val="001E52DE"/>
    <w:rsid w:val="001E582A"/>
    <w:rsid w:val="001E7AF7"/>
    <w:rsid w:val="001F0CE9"/>
    <w:rsid w:val="001F3714"/>
    <w:rsid w:val="001F39B2"/>
    <w:rsid w:val="001F4B7F"/>
    <w:rsid w:val="001F60F1"/>
    <w:rsid w:val="001F6E69"/>
    <w:rsid w:val="002067F3"/>
    <w:rsid w:val="00206BFE"/>
    <w:rsid w:val="002150C4"/>
    <w:rsid w:val="0021523D"/>
    <w:rsid w:val="00220E5C"/>
    <w:rsid w:val="00224F96"/>
    <w:rsid w:val="00225036"/>
    <w:rsid w:val="00227291"/>
    <w:rsid w:val="00232CFF"/>
    <w:rsid w:val="00234C51"/>
    <w:rsid w:val="002351BF"/>
    <w:rsid w:val="00235772"/>
    <w:rsid w:val="00235E4A"/>
    <w:rsid w:val="00236C13"/>
    <w:rsid w:val="0023778C"/>
    <w:rsid w:val="00237F4E"/>
    <w:rsid w:val="00247898"/>
    <w:rsid w:val="002504A0"/>
    <w:rsid w:val="002533A6"/>
    <w:rsid w:val="00253C39"/>
    <w:rsid w:val="00255DB5"/>
    <w:rsid w:val="00263976"/>
    <w:rsid w:val="00264921"/>
    <w:rsid w:val="00265439"/>
    <w:rsid w:val="00267AC3"/>
    <w:rsid w:val="00270E2A"/>
    <w:rsid w:val="0027285A"/>
    <w:rsid w:val="00274858"/>
    <w:rsid w:val="002824CF"/>
    <w:rsid w:val="00282C6D"/>
    <w:rsid w:val="0028474C"/>
    <w:rsid w:val="00285772"/>
    <w:rsid w:val="00287364"/>
    <w:rsid w:val="00287D33"/>
    <w:rsid w:val="00291AA4"/>
    <w:rsid w:val="00291F1D"/>
    <w:rsid w:val="00292A88"/>
    <w:rsid w:val="00293892"/>
    <w:rsid w:val="002951FC"/>
    <w:rsid w:val="002A2386"/>
    <w:rsid w:val="002A5DC6"/>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390A"/>
    <w:rsid w:val="002E490F"/>
    <w:rsid w:val="002E499D"/>
    <w:rsid w:val="002E4B6D"/>
    <w:rsid w:val="002E4B80"/>
    <w:rsid w:val="002E616F"/>
    <w:rsid w:val="002E68CD"/>
    <w:rsid w:val="002E7EAE"/>
    <w:rsid w:val="002F03CE"/>
    <w:rsid w:val="002F2762"/>
    <w:rsid w:val="002F3FAE"/>
    <w:rsid w:val="002F6BC2"/>
    <w:rsid w:val="002F7983"/>
    <w:rsid w:val="0030085B"/>
    <w:rsid w:val="003013DF"/>
    <w:rsid w:val="00302EE8"/>
    <w:rsid w:val="0030444C"/>
    <w:rsid w:val="00304865"/>
    <w:rsid w:val="00312121"/>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201D"/>
    <w:rsid w:val="003526DC"/>
    <w:rsid w:val="0035309F"/>
    <w:rsid w:val="00353B36"/>
    <w:rsid w:val="00353DCF"/>
    <w:rsid w:val="00354E71"/>
    <w:rsid w:val="00355DC7"/>
    <w:rsid w:val="003578EB"/>
    <w:rsid w:val="00357C52"/>
    <w:rsid w:val="0036159C"/>
    <w:rsid w:val="003625B9"/>
    <w:rsid w:val="00362B1B"/>
    <w:rsid w:val="00364B40"/>
    <w:rsid w:val="00365315"/>
    <w:rsid w:val="00367CE8"/>
    <w:rsid w:val="003706A3"/>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43DD"/>
    <w:rsid w:val="003A6896"/>
    <w:rsid w:val="003B236E"/>
    <w:rsid w:val="003B2F31"/>
    <w:rsid w:val="003B5666"/>
    <w:rsid w:val="003C28EC"/>
    <w:rsid w:val="003C72EE"/>
    <w:rsid w:val="003D10F0"/>
    <w:rsid w:val="003D15A1"/>
    <w:rsid w:val="003D273D"/>
    <w:rsid w:val="003D3EEA"/>
    <w:rsid w:val="003E2B02"/>
    <w:rsid w:val="003E2CDD"/>
    <w:rsid w:val="003E3C3F"/>
    <w:rsid w:val="003E54AE"/>
    <w:rsid w:val="003E6309"/>
    <w:rsid w:val="003E70DE"/>
    <w:rsid w:val="003E7A09"/>
    <w:rsid w:val="003F039E"/>
    <w:rsid w:val="003F1E4A"/>
    <w:rsid w:val="003F20EB"/>
    <w:rsid w:val="003F2D08"/>
    <w:rsid w:val="003F2DD5"/>
    <w:rsid w:val="003F411D"/>
    <w:rsid w:val="003F430C"/>
    <w:rsid w:val="003F614C"/>
    <w:rsid w:val="003F6C3A"/>
    <w:rsid w:val="0040291E"/>
    <w:rsid w:val="00404BAC"/>
    <w:rsid w:val="00405F52"/>
    <w:rsid w:val="004060C5"/>
    <w:rsid w:val="004077BE"/>
    <w:rsid w:val="00407FA0"/>
    <w:rsid w:val="00411778"/>
    <w:rsid w:val="00414004"/>
    <w:rsid w:val="00414D8B"/>
    <w:rsid w:val="00414F7A"/>
    <w:rsid w:val="00420701"/>
    <w:rsid w:val="00420745"/>
    <w:rsid w:val="00423E8A"/>
    <w:rsid w:val="00425B94"/>
    <w:rsid w:val="00427DC8"/>
    <w:rsid w:val="0043557A"/>
    <w:rsid w:val="004373A6"/>
    <w:rsid w:val="004375FE"/>
    <w:rsid w:val="00437704"/>
    <w:rsid w:val="00440089"/>
    <w:rsid w:val="00443BBF"/>
    <w:rsid w:val="00445663"/>
    <w:rsid w:val="00447F5B"/>
    <w:rsid w:val="0045024E"/>
    <w:rsid w:val="00451830"/>
    <w:rsid w:val="00455D2B"/>
    <w:rsid w:val="00456CBD"/>
    <w:rsid w:val="004576AA"/>
    <w:rsid w:val="00457C55"/>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A0851"/>
    <w:rsid w:val="004A0B27"/>
    <w:rsid w:val="004A0C80"/>
    <w:rsid w:val="004A0D5B"/>
    <w:rsid w:val="004A2D23"/>
    <w:rsid w:val="004A524E"/>
    <w:rsid w:val="004A7311"/>
    <w:rsid w:val="004A74BA"/>
    <w:rsid w:val="004B067D"/>
    <w:rsid w:val="004B3972"/>
    <w:rsid w:val="004B3A80"/>
    <w:rsid w:val="004B446B"/>
    <w:rsid w:val="004B486D"/>
    <w:rsid w:val="004B4AC8"/>
    <w:rsid w:val="004B538E"/>
    <w:rsid w:val="004C0872"/>
    <w:rsid w:val="004C091E"/>
    <w:rsid w:val="004C0B08"/>
    <w:rsid w:val="004C1326"/>
    <w:rsid w:val="004C1417"/>
    <w:rsid w:val="004C18ED"/>
    <w:rsid w:val="004C4BDC"/>
    <w:rsid w:val="004D197E"/>
    <w:rsid w:val="004D7226"/>
    <w:rsid w:val="004E09B3"/>
    <w:rsid w:val="004F3C24"/>
    <w:rsid w:val="004F595D"/>
    <w:rsid w:val="004F756F"/>
    <w:rsid w:val="005001A3"/>
    <w:rsid w:val="005036DA"/>
    <w:rsid w:val="005052C9"/>
    <w:rsid w:val="00506961"/>
    <w:rsid w:val="0051496C"/>
    <w:rsid w:val="00514B2F"/>
    <w:rsid w:val="00514B79"/>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32A"/>
    <w:rsid w:val="00551591"/>
    <w:rsid w:val="00551F8F"/>
    <w:rsid w:val="0055496A"/>
    <w:rsid w:val="005560B7"/>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91229"/>
    <w:rsid w:val="00595EA5"/>
    <w:rsid w:val="005969F9"/>
    <w:rsid w:val="00596E2F"/>
    <w:rsid w:val="00596F14"/>
    <w:rsid w:val="00597071"/>
    <w:rsid w:val="00597F88"/>
    <w:rsid w:val="005A0A6F"/>
    <w:rsid w:val="005A16A3"/>
    <w:rsid w:val="005A4EAA"/>
    <w:rsid w:val="005A621B"/>
    <w:rsid w:val="005A6E8F"/>
    <w:rsid w:val="005A7942"/>
    <w:rsid w:val="005A7BD4"/>
    <w:rsid w:val="005B14FF"/>
    <w:rsid w:val="005B1CD7"/>
    <w:rsid w:val="005B2CC1"/>
    <w:rsid w:val="005B2DC1"/>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348"/>
    <w:rsid w:val="005E6F1D"/>
    <w:rsid w:val="005E70F4"/>
    <w:rsid w:val="005F603E"/>
    <w:rsid w:val="0060058D"/>
    <w:rsid w:val="00600FE0"/>
    <w:rsid w:val="00602F6E"/>
    <w:rsid w:val="0060550A"/>
    <w:rsid w:val="00610A12"/>
    <w:rsid w:val="00611101"/>
    <w:rsid w:val="00613D7E"/>
    <w:rsid w:val="0061407C"/>
    <w:rsid w:val="00615AE4"/>
    <w:rsid w:val="006170D2"/>
    <w:rsid w:val="00617C01"/>
    <w:rsid w:val="00621217"/>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6536"/>
    <w:rsid w:val="006572DB"/>
    <w:rsid w:val="00657B8A"/>
    <w:rsid w:val="006644C6"/>
    <w:rsid w:val="006714D8"/>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306C"/>
    <w:rsid w:val="006B5254"/>
    <w:rsid w:val="006B5B75"/>
    <w:rsid w:val="006B778C"/>
    <w:rsid w:val="006C0829"/>
    <w:rsid w:val="006C2826"/>
    <w:rsid w:val="006C47AC"/>
    <w:rsid w:val="006C5DC3"/>
    <w:rsid w:val="006D05BF"/>
    <w:rsid w:val="006D2304"/>
    <w:rsid w:val="006D2A6D"/>
    <w:rsid w:val="006D2CBF"/>
    <w:rsid w:val="006D3B32"/>
    <w:rsid w:val="006D5248"/>
    <w:rsid w:val="006D76CD"/>
    <w:rsid w:val="006D7ADB"/>
    <w:rsid w:val="006E1967"/>
    <w:rsid w:val="006E1D13"/>
    <w:rsid w:val="006E321C"/>
    <w:rsid w:val="006E38F5"/>
    <w:rsid w:val="006E4216"/>
    <w:rsid w:val="006E478F"/>
    <w:rsid w:val="006F150A"/>
    <w:rsid w:val="006F1C29"/>
    <w:rsid w:val="006F3289"/>
    <w:rsid w:val="006F384E"/>
    <w:rsid w:val="006F4CC8"/>
    <w:rsid w:val="006F4E09"/>
    <w:rsid w:val="006F4F4E"/>
    <w:rsid w:val="006F6842"/>
    <w:rsid w:val="006F6B2B"/>
    <w:rsid w:val="007021B6"/>
    <w:rsid w:val="007042AA"/>
    <w:rsid w:val="007058B7"/>
    <w:rsid w:val="00706DFC"/>
    <w:rsid w:val="007116FE"/>
    <w:rsid w:val="00712912"/>
    <w:rsid w:val="00713109"/>
    <w:rsid w:val="00713C99"/>
    <w:rsid w:val="007146D7"/>
    <w:rsid w:val="00715EF6"/>
    <w:rsid w:val="00717F20"/>
    <w:rsid w:val="00721B29"/>
    <w:rsid w:val="00721E7C"/>
    <w:rsid w:val="00725EF5"/>
    <w:rsid w:val="0072649E"/>
    <w:rsid w:val="00726BE5"/>
    <w:rsid w:val="00727FE3"/>
    <w:rsid w:val="00732A8C"/>
    <w:rsid w:val="00736CC6"/>
    <w:rsid w:val="00736D17"/>
    <w:rsid w:val="00741A88"/>
    <w:rsid w:val="00742E04"/>
    <w:rsid w:val="00743188"/>
    <w:rsid w:val="00743E8F"/>
    <w:rsid w:val="0074453A"/>
    <w:rsid w:val="00744E0C"/>
    <w:rsid w:val="00744F6F"/>
    <w:rsid w:val="007452AE"/>
    <w:rsid w:val="007461D5"/>
    <w:rsid w:val="00747349"/>
    <w:rsid w:val="007504D1"/>
    <w:rsid w:val="00750753"/>
    <w:rsid w:val="00755030"/>
    <w:rsid w:val="00755678"/>
    <w:rsid w:val="0075613C"/>
    <w:rsid w:val="007605FF"/>
    <w:rsid w:val="00761706"/>
    <w:rsid w:val="007626D3"/>
    <w:rsid w:val="00763114"/>
    <w:rsid w:val="0076452B"/>
    <w:rsid w:val="007645B6"/>
    <w:rsid w:val="00766775"/>
    <w:rsid w:val="00766C6B"/>
    <w:rsid w:val="00767578"/>
    <w:rsid w:val="00770036"/>
    <w:rsid w:val="00773A3B"/>
    <w:rsid w:val="00774294"/>
    <w:rsid w:val="00775B33"/>
    <w:rsid w:val="00782642"/>
    <w:rsid w:val="007844BE"/>
    <w:rsid w:val="00786E71"/>
    <w:rsid w:val="0079133B"/>
    <w:rsid w:val="00791885"/>
    <w:rsid w:val="00794512"/>
    <w:rsid w:val="00794A0D"/>
    <w:rsid w:val="00794DF0"/>
    <w:rsid w:val="007959AD"/>
    <w:rsid w:val="007A2B08"/>
    <w:rsid w:val="007A3826"/>
    <w:rsid w:val="007A4343"/>
    <w:rsid w:val="007A4758"/>
    <w:rsid w:val="007A5200"/>
    <w:rsid w:val="007A6714"/>
    <w:rsid w:val="007A6FDA"/>
    <w:rsid w:val="007B079D"/>
    <w:rsid w:val="007B557C"/>
    <w:rsid w:val="007B584F"/>
    <w:rsid w:val="007B77B2"/>
    <w:rsid w:val="007B7D73"/>
    <w:rsid w:val="007C0474"/>
    <w:rsid w:val="007C0818"/>
    <w:rsid w:val="007C14E9"/>
    <w:rsid w:val="007C1DA9"/>
    <w:rsid w:val="007C2410"/>
    <w:rsid w:val="007C2498"/>
    <w:rsid w:val="007C4D1A"/>
    <w:rsid w:val="007C7907"/>
    <w:rsid w:val="007D549A"/>
    <w:rsid w:val="007D649A"/>
    <w:rsid w:val="007D7C3E"/>
    <w:rsid w:val="007E027B"/>
    <w:rsid w:val="007E0E28"/>
    <w:rsid w:val="007E174F"/>
    <w:rsid w:val="007E1816"/>
    <w:rsid w:val="007E18CE"/>
    <w:rsid w:val="007E1AAB"/>
    <w:rsid w:val="007E2208"/>
    <w:rsid w:val="007E4AF7"/>
    <w:rsid w:val="007E64A4"/>
    <w:rsid w:val="007E7D3F"/>
    <w:rsid w:val="007F1C84"/>
    <w:rsid w:val="007F2457"/>
    <w:rsid w:val="007F36C8"/>
    <w:rsid w:val="007F3A50"/>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2056"/>
    <w:rsid w:val="008626DF"/>
    <w:rsid w:val="00863980"/>
    <w:rsid w:val="008647B5"/>
    <w:rsid w:val="00864CBC"/>
    <w:rsid w:val="00866B5D"/>
    <w:rsid w:val="0086723F"/>
    <w:rsid w:val="0087211E"/>
    <w:rsid w:val="00872967"/>
    <w:rsid w:val="00875886"/>
    <w:rsid w:val="00883DA8"/>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52F"/>
    <w:rsid w:val="008C1BF6"/>
    <w:rsid w:val="008C3D7F"/>
    <w:rsid w:val="008C6C79"/>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4EAC"/>
    <w:rsid w:val="00916CDA"/>
    <w:rsid w:val="00917064"/>
    <w:rsid w:val="0092098B"/>
    <w:rsid w:val="00920C7B"/>
    <w:rsid w:val="00922FBB"/>
    <w:rsid w:val="0092493B"/>
    <w:rsid w:val="00926614"/>
    <w:rsid w:val="0093236F"/>
    <w:rsid w:val="00932BC5"/>
    <w:rsid w:val="00932F06"/>
    <w:rsid w:val="009361F9"/>
    <w:rsid w:val="00936660"/>
    <w:rsid w:val="00937BF1"/>
    <w:rsid w:val="00937F0E"/>
    <w:rsid w:val="00942191"/>
    <w:rsid w:val="00942712"/>
    <w:rsid w:val="00951444"/>
    <w:rsid w:val="0096238F"/>
    <w:rsid w:val="00964B1D"/>
    <w:rsid w:val="00972509"/>
    <w:rsid w:val="009734A6"/>
    <w:rsid w:val="009735DD"/>
    <w:rsid w:val="00976970"/>
    <w:rsid w:val="00976D4F"/>
    <w:rsid w:val="0098034C"/>
    <w:rsid w:val="0098630E"/>
    <w:rsid w:val="0099156B"/>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A73"/>
    <w:rsid w:val="009C6D7D"/>
    <w:rsid w:val="009C7248"/>
    <w:rsid w:val="009D1C71"/>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1DFC"/>
    <w:rsid w:val="00A22C6A"/>
    <w:rsid w:val="00A232C1"/>
    <w:rsid w:val="00A23F9A"/>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097"/>
    <w:rsid w:val="00A47EA0"/>
    <w:rsid w:val="00A505FF"/>
    <w:rsid w:val="00A543F4"/>
    <w:rsid w:val="00A54EB9"/>
    <w:rsid w:val="00A5544B"/>
    <w:rsid w:val="00A55C65"/>
    <w:rsid w:val="00A579F8"/>
    <w:rsid w:val="00A60A8A"/>
    <w:rsid w:val="00A62C43"/>
    <w:rsid w:val="00A64DC5"/>
    <w:rsid w:val="00A65CB3"/>
    <w:rsid w:val="00A66020"/>
    <w:rsid w:val="00A675B4"/>
    <w:rsid w:val="00A67E15"/>
    <w:rsid w:val="00A70C5E"/>
    <w:rsid w:val="00A7225A"/>
    <w:rsid w:val="00A8138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42E"/>
    <w:rsid w:val="00AA7AE9"/>
    <w:rsid w:val="00AA7DEB"/>
    <w:rsid w:val="00AB01D5"/>
    <w:rsid w:val="00AB07FF"/>
    <w:rsid w:val="00AB17B0"/>
    <w:rsid w:val="00AB3514"/>
    <w:rsid w:val="00AB4FF0"/>
    <w:rsid w:val="00AB7E38"/>
    <w:rsid w:val="00AC0185"/>
    <w:rsid w:val="00AC0670"/>
    <w:rsid w:val="00AC097F"/>
    <w:rsid w:val="00AC0CAA"/>
    <w:rsid w:val="00AC4E5C"/>
    <w:rsid w:val="00AC76CB"/>
    <w:rsid w:val="00AD007E"/>
    <w:rsid w:val="00AD4797"/>
    <w:rsid w:val="00AE29F7"/>
    <w:rsid w:val="00AE4236"/>
    <w:rsid w:val="00AE51B0"/>
    <w:rsid w:val="00AE5220"/>
    <w:rsid w:val="00AF0002"/>
    <w:rsid w:val="00AF3D5A"/>
    <w:rsid w:val="00AF44B2"/>
    <w:rsid w:val="00AF4BAC"/>
    <w:rsid w:val="00AF724E"/>
    <w:rsid w:val="00B0428E"/>
    <w:rsid w:val="00B078EC"/>
    <w:rsid w:val="00B104BA"/>
    <w:rsid w:val="00B1182E"/>
    <w:rsid w:val="00B123C0"/>
    <w:rsid w:val="00B13EE4"/>
    <w:rsid w:val="00B15D1F"/>
    <w:rsid w:val="00B16A62"/>
    <w:rsid w:val="00B16BA1"/>
    <w:rsid w:val="00B20D0D"/>
    <w:rsid w:val="00B24C34"/>
    <w:rsid w:val="00B27969"/>
    <w:rsid w:val="00B30292"/>
    <w:rsid w:val="00B30409"/>
    <w:rsid w:val="00B3232C"/>
    <w:rsid w:val="00B35201"/>
    <w:rsid w:val="00B35DEE"/>
    <w:rsid w:val="00B368BD"/>
    <w:rsid w:val="00B36C5A"/>
    <w:rsid w:val="00B40294"/>
    <w:rsid w:val="00B41D1A"/>
    <w:rsid w:val="00B42554"/>
    <w:rsid w:val="00B42CF6"/>
    <w:rsid w:val="00B4307D"/>
    <w:rsid w:val="00B43F8D"/>
    <w:rsid w:val="00B44A44"/>
    <w:rsid w:val="00B44DBE"/>
    <w:rsid w:val="00B45700"/>
    <w:rsid w:val="00B46126"/>
    <w:rsid w:val="00B50697"/>
    <w:rsid w:val="00B50FDA"/>
    <w:rsid w:val="00B512FE"/>
    <w:rsid w:val="00B53E85"/>
    <w:rsid w:val="00B5435E"/>
    <w:rsid w:val="00B54C9E"/>
    <w:rsid w:val="00B55E9B"/>
    <w:rsid w:val="00B560AA"/>
    <w:rsid w:val="00B61ED5"/>
    <w:rsid w:val="00B63086"/>
    <w:rsid w:val="00B64170"/>
    <w:rsid w:val="00B67DC9"/>
    <w:rsid w:val="00B7385F"/>
    <w:rsid w:val="00B74018"/>
    <w:rsid w:val="00B74EDD"/>
    <w:rsid w:val="00B80578"/>
    <w:rsid w:val="00B82E1E"/>
    <w:rsid w:val="00B82F92"/>
    <w:rsid w:val="00B86834"/>
    <w:rsid w:val="00B86897"/>
    <w:rsid w:val="00B87B5C"/>
    <w:rsid w:val="00B91541"/>
    <w:rsid w:val="00B943B4"/>
    <w:rsid w:val="00B978C6"/>
    <w:rsid w:val="00BA11F0"/>
    <w:rsid w:val="00BA13A3"/>
    <w:rsid w:val="00BA1C0F"/>
    <w:rsid w:val="00BA5B76"/>
    <w:rsid w:val="00BA64E5"/>
    <w:rsid w:val="00BA6C68"/>
    <w:rsid w:val="00BB2ED1"/>
    <w:rsid w:val="00BB368C"/>
    <w:rsid w:val="00BB39B5"/>
    <w:rsid w:val="00BB72A0"/>
    <w:rsid w:val="00BB74CD"/>
    <w:rsid w:val="00BB7985"/>
    <w:rsid w:val="00BC14C3"/>
    <w:rsid w:val="00BC3AEA"/>
    <w:rsid w:val="00BC4859"/>
    <w:rsid w:val="00BC5470"/>
    <w:rsid w:val="00BC5531"/>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384"/>
    <w:rsid w:val="00C61AF2"/>
    <w:rsid w:val="00C61E0D"/>
    <w:rsid w:val="00C642B4"/>
    <w:rsid w:val="00C653F8"/>
    <w:rsid w:val="00C6550E"/>
    <w:rsid w:val="00C66D74"/>
    <w:rsid w:val="00C678D0"/>
    <w:rsid w:val="00C70D8B"/>
    <w:rsid w:val="00C72AC1"/>
    <w:rsid w:val="00C72B6F"/>
    <w:rsid w:val="00C76A41"/>
    <w:rsid w:val="00C76D1D"/>
    <w:rsid w:val="00C779EE"/>
    <w:rsid w:val="00C804B6"/>
    <w:rsid w:val="00C80606"/>
    <w:rsid w:val="00C8161B"/>
    <w:rsid w:val="00C83EE9"/>
    <w:rsid w:val="00C83F7B"/>
    <w:rsid w:val="00C90C2A"/>
    <w:rsid w:val="00C91EE1"/>
    <w:rsid w:val="00C9290C"/>
    <w:rsid w:val="00C9346A"/>
    <w:rsid w:val="00C9396A"/>
    <w:rsid w:val="00C93F23"/>
    <w:rsid w:val="00C94045"/>
    <w:rsid w:val="00C94174"/>
    <w:rsid w:val="00C94C38"/>
    <w:rsid w:val="00C975B5"/>
    <w:rsid w:val="00CA0081"/>
    <w:rsid w:val="00CA1366"/>
    <w:rsid w:val="00CA17BB"/>
    <w:rsid w:val="00CA1DF0"/>
    <w:rsid w:val="00CA3770"/>
    <w:rsid w:val="00CA388A"/>
    <w:rsid w:val="00CA53DD"/>
    <w:rsid w:val="00CB7364"/>
    <w:rsid w:val="00CB7C76"/>
    <w:rsid w:val="00CC1987"/>
    <w:rsid w:val="00CC1CC7"/>
    <w:rsid w:val="00CC5FEC"/>
    <w:rsid w:val="00CC6095"/>
    <w:rsid w:val="00CD0C86"/>
    <w:rsid w:val="00CD10D7"/>
    <w:rsid w:val="00CD2FDC"/>
    <w:rsid w:val="00CD4938"/>
    <w:rsid w:val="00CD4CC6"/>
    <w:rsid w:val="00CE032A"/>
    <w:rsid w:val="00CE0A1D"/>
    <w:rsid w:val="00CF35FE"/>
    <w:rsid w:val="00CF4334"/>
    <w:rsid w:val="00CF5782"/>
    <w:rsid w:val="00CF5C38"/>
    <w:rsid w:val="00CF6EA4"/>
    <w:rsid w:val="00D027C4"/>
    <w:rsid w:val="00D04275"/>
    <w:rsid w:val="00D04E5D"/>
    <w:rsid w:val="00D0752F"/>
    <w:rsid w:val="00D07E43"/>
    <w:rsid w:val="00D1136B"/>
    <w:rsid w:val="00D13E68"/>
    <w:rsid w:val="00D207FE"/>
    <w:rsid w:val="00D20ECB"/>
    <w:rsid w:val="00D21A0F"/>
    <w:rsid w:val="00D22A9C"/>
    <w:rsid w:val="00D23CE2"/>
    <w:rsid w:val="00D2510C"/>
    <w:rsid w:val="00D306B4"/>
    <w:rsid w:val="00D315D9"/>
    <w:rsid w:val="00D31CCC"/>
    <w:rsid w:val="00D32353"/>
    <w:rsid w:val="00D35386"/>
    <w:rsid w:val="00D37234"/>
    <w:rsid w:val="00D37A98"/>
    <w:rsid w:val="00D404AF"/>
    <w:rsid w:val="00D43574"/>
    <w:rsid w:val="00D4600C"/>
    <w:rsid w:val="00D47ECA"/>
    <w:rsid w:val="00D5314D"/>
    <w:rsid w:val="00D54324"/>
    <w:rsid w:val="00D5441B"/>
    <w:rsid w:val="00D548D6"/>
    <w:rsid w:val="00D55E41"/>
    <w:rsid w:val="00D56098"/>
    <w:rsid w:val="00D5682F"/>
    <w:rsid w:val="00D60D8D"/>
    <w:rsid w:val="00D64055"/>
    <w:rsid w:val="00D651BE"/>
    <w:rsid w:val="00D66FC4"/>
    <w:rsid w:val="00D7019E"/>
    <w:rsid w:val="00D70CFF"/>
    <w:rsid w:val="00D71D98"/>
    <w:rsid w:val="00D7594C"/>
    <w:rsid w:val="00D80458"/>
    <w:rsid w:val="00D81065"/>
    <w:rsid w:val="00D82507"/>
    <w:rsid w:val="00D84E28"/>
    <w:rsid w:val="00D9057B"/>
    <w:rsid w:val="00D90EF4"/>
    <w:rsid w:val="00D91B4C"/>
    <w:rsid w:val="00D92256"/>
    <w:rsid w:val="00D9457D"/>
    <w:rsid w:val="00D954BD"/>
    <w:rsid w:val="00D95AE0"/>
    <w:rsid w:val="00D96B29"/>
    <w:rsid w:val="00D96D5A"/>
    <w:rsid w:val="00D96F37"/>
    <w:rsid w:val="00D97974"/>
    <w:rsid w:val="00DA1A02"/>
    <w:rsid w:val="00DA213C"/>
    <w:rsid w:val="00DA2742"/>
    <w:rsid w:val="00DA3754"/>
    <w:rsid w:val="00DA3CD3"/>
    <w:rsid w:val="00DA450C"/>
    <w:rsid w:val="00DA4E12"/>
    <w:rsid w:val="00DA626A"/>
    <w:rsid w:val="00DB0D58"/>
    <w:rsid w:val="00DB2E50"/>
    <w:rsid w:val="00DB364B"/>
    <w:rsid w:val="00DB4EF0"/>
    <w:rsid w:val="00DB59C7"/>
    <w:rsid w:val="00DB5F8E"/>
    <w:rsid w:val="00DB62F7"/>
    <w:rsid w:val="00DC2857"/>
    <w:rsid w:val="00DC7933"/>
    <w:rsid w:val="00DC7C37"/>
    <w:rsid w:val="00DD0097"/>
    <w:rsid w:val="00DD1560"/>
    <w:rsid w:val="00DD2460"/>
    <w:rsid w:val="00DD3391"/>
    <w:rsid w:val="00DD5381"/>
    <w:rsid w:val="00DD7B80"/>
    <w:rsid w:val="00DE0DA6"/>
    <w:rsid w:val="00DE264A"/>
    <w:rsid w:val="00DE32CE"/>
    <w:rsid w:val="00DE3C38"/>
    <w:rsid w:val="00DE446B"/>
    <w:rsid w:val="00DE7119"/>
    <w:rsid w:val="00DE7D20"/>
    <w:rsid w:val="00DF098F"/>
    <w:rsid w:val="00DF0ED4"/>
    <w:rsid w:val="00DF181B"/>
    <w:rsid w:val="00DF1C38"/>
    <w:rsid w:val="00E01159"/>
    <w:rsid w:val="00E01972"/>
    <w:rsid w:val="00E042B7"/>
    <w:rsid w:val="00E05F99"/>
    <w:rsid w:val="00E06073"/>
    <w:rsid w:val="00E07950"/>
    <w:rsid w:val="00E132EC"/>
    <w:rsid w:val="00E17AD2"/>
    <w:rsid w:val="00E20EBB"/>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6220"/>
    <w:rsid w:val="00E612CB"/>
    <w:rsid w:val="00E632C3"/>
    <w:rsid w:val="00E64566"/>
    <w:rsid w:val="00E64A66"/>
    <w:rsid w:val="00E6629F"/>
    <w:rsid w:val="00E72D55"/>
    <w:rsid w:val="00E75C01"/>
    <w:rsid w:val="00E762E4"/>
    <w:rsid w:val="00E76FC2"/>
    <w:rsid w:val="00E773AE"/>
    <w:rsid w:val="00E77446"/>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5A2B"/>
    <w:rsid w:val="00EB21AA"/>
    <w:rsid w:val="00EB22D4"/>
    <w:rsid w:val="00EB3B77"/>
    <w:rsid w:val="00EB4DC1"/>
    <w:rsid w:val="00EB726D"/>
    <w:rsid w:val="00EB786B"/>
    <w:rsid w:val="00EC0B0D"/>
    <w:rsid w:val="00EC0C73"/>
    <w:rsid w:val="00EC1F4C"/>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7E2A"/>
    <w:rsid w:val="00F34A67"/>
    <w:rsid w:val="00F35FEC"/>
    <w:rsid w:val="00F36294"/>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1F3"/>
    <w:rsid w:val="00F71E57"/>
    <w:rsid w:val="00F725E2"/>
    <w:rsid w:val="00F740D9"/>
    <w:rsid w:val="00F82162"/>
    <w:rsid w:val="00F8475E"/>
    <w:rsid w:val="00F865AF"/>
    <w:rsid w:val="00F86BCD"/>
    <w:rsid w:val="00F91751"/>
    <w:rsid w:val="00F91F20"/>
    <w:rsid w:val="00F92BA0"/>
    <w:rsid w:val="00F949FD"/>
    <w:rsid w:val="00F94A58"/>
    <w:rsid w:val="00F958BD"/>
    <w:rsid w:val="00F95B98"/>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C75A7"/>
    <w:rsid w:val="00FD1D04"/>
    <w:rsid w:val="00FD32D1"/>
    <w:rsid w:val="00FD34FB"/>
    <w:rsid w:val="00FD3E16"/>
    <w:rsid w:val="00FD664B"/>
    <w:rsid w:val="00FD74AB"/>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55795">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236A9-4C4A-4A34-ABE5-1EE6B094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Vidit Saxena</cp:lastModifiedBy>
  <cp:revision>189</cp:revision>
  <cp:lastPrinted>2015-07-20T19:34:00Z</cp:lastPrinted>
  <dcterms:created xsi:type="dcterms:W3CDTF">2015-11-06T11:25:00Z</dcterms:created>
  <dcterms:modified xsi:type="dcterms:W3CDTF">2015-11-07T06:33:00Z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